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2A0EEF44"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205356">
        <w:rPr>
          <w:rFonts w:ascii="Times New Roman" w:hAnsi="Times New Roman" w:cs="Times New Roman"/>
          <w:b/>
        </w:rPr>
        <w:t>IV</w:t>
      </w:r>
      <w:r w:rsidRPr="00DC23D4">
        <w:rPr>
          <w:rFonts w:ascii="Times New Roman" w:hAnsi="Times New Roman" w:cs="Times New Roman"/>
          <w:b/>
          <w:lang w:val="vi-VN"/>
        </w:rPr>
        <w:t xml:space="preserve"> NĂM 20</w:t>
      </w:r>
      <w:r w:rsidR="009174FB" w:rsidRPr="00DC23D4">
        <w:rPr>
          <w:rFonts w:ascii="Times New Roman" w:hAnsi="Times New Roman" w:cs="Times New Roman"/>
          <w:b/>
        </w:rPr>
        <w:t>2</w:t>
      </w:r>
      <w:r w:rsidR="00287AED">
        <w:rPr>
          <w:rFonts w:ascii="Times New Roman" w:hAnsi="Times New Roman" w:cs="Times New Roman"/>
          <w:b/>
        </w:rPr>
        <w:t>3</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07416AAB"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 xml:space="preserve">i ngày </w:t>
      </w:r>
      <w:r w:rsidR="00205356">
        <w:rPr>
          <w:rFonts w:ascii="Times New Roman" w:hAnsi="Times New Roman" w:cs="Times New Roman"/>
          <w:lang w:val="vi-VN"/>
        </w:rPr>
        <w:t>31</w:t>
      </w:r>
      <w:r w:rsidR="00020D1F" w:rsidRPr="00DC23D4">
        <w:rPr>
          <w:rFonts w:ascii="Times New Roman" w:hAnsi="Times New Roman" w:cs="Times New Roman"/>
          <w:lang w:val="vi-VN"/>
        </w:rPr>
        <w:t xml:space="preserve"> tháng </w:t>
      </w:r>
      <w:r w:rsidR="00205356">
        <w:rPr>
          <w:rFonts w:ascii="Times New Roman" w:hAnsi="Times New Roman" w:cs="Times New Roman"/>
        </w:rPr>
        <w:t>12</w:t>
      </w:r>
      <w:r w:rsidR="002A31AE" w:rsidRPr="00DC23D4">
        <w:rPr>
          <w:rFonts w:ascii="Times New Roman" w:hAnsi="Times New Roman" w:cs="Times New Roman"/>
          <w:lang w:val="vi-VN"/>
        </w:rPr>
        <w:t xml:space="preserve"> năm 20</w:t>
      </w:r>
      <w:r w:rsidR="009174FB" w:rsidRPr="00DC23D4">
        <w:rPr>
          <w:rFonts w:ascii="Times New Roman" w:hAnsi="Times New Roman" w:cs="Times New Roman"/>
          <w:lang w:val="vi-VN"/>
        </w:rPr>
        <w:t>2</w:t>
      </w:r>
      <w:r w:rsidR="00287AED">
        <w:rPr>
          <w:rFonts w:ascii="Times New Roman" w:hAnsi="Times New Roman" w:cs="Times New Roman"/>
        </w:rPr>
        <w:t>3</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205356">
        <w:rPr>
          <w:rFonts w:ascii="Times New Roman" w:hAnsi="Times New Roman" w:cs="Times New Roman"/>
        </w:rPr>
        <w:t>1</w:t>
      </w:r>
      <w:r w:rsidR="00344CEA">
        <w:rPr>
          <w:rFonts w:ascii="Times New Roman" w:hAnsi="Times New Roman" w:cs="Times New Roman"/>
          <w:lang w:val="vi-VN"/>
        </w:rPr>
        <w:t>.</w:t>
      </w:r>
      <w:r w:rsidR="00205356">
        <w:rPr>
          <w:rFonts w:ascii="Times New Roman" w:hAnsi="Times New Roman" w:cs="Times New Roman"/>
          <w:lang w:val="vi-VN"/>
        </w:rPr>
        <w:t>417</w:t>
      </w:r>
      <w:r w:rsidR="00344CEA">
        <w:rPr>
          <w:rFonts w:ascii="Times New Roman" w:hAnsi="Times New Roman" w:cs="Times New Roman"/>
          <w:lang w:val="vi-VN"/>
        </w:rPr>
        <w:t>.</w:t>
      </w:r>
      <w:r w:rsidR="00205356">
        <w:rPr>
          <w:rFonts w:ascii="Times New Roman" w:hAnsi="Times New Roman" w:cs="Times New Roman"/>
          <w:lang w:val="vi-VN"/>
        </w:rPr>
        <w:t>672</w:t>
      </w:r>
      <w:r w:rsidR="00344CEA">
        <w:rPr>
          <w:rFonts w:ascii="Times New Roman" w:hAnsi="Times New Roman" w:cs="Times New Roman"/>
          <w:lang w:val="vi-VN"/>
        </w:rPr>
        <w:t>.</w:t>
      </w:r>
      <w:r w:rsidR="00205356">
        <w:rPr>
          <w:rFonts w:ascii="Times New Roman" w:hAnsi="Times New Roman" w:cs="Times New Roman"/>
          <w:lang w:val="vi-VN"/>
        </w:rPr>
        <w:t>327</w:t>
      </w:r>
      <w:r w:rsidR="00344CEA">
        <w:rPr>
          <w:rFonts w:ascii="Times New Roman" w:hAnsi="Times New Roman" w:cs="Times New Roman"/>
          <w:lang w:val="vi-VN"/>
        </w:rPr>
        <w:t>.</w:t>
      </w:r>
      <w:r w:rsidR="00205356">
        <w:rPr>
          <w:rFonts w:ascii="Times New Roman" w:hAnsi="Times New Roman" w:cs="Times New Roman"/>
          <w:lang w:val="vi-VN"/>
        </w:rPr>
        <w:t>6</w:t>
      </w:r>
      <w:r w:rsidR="00344CEA" w:rsidRPr="00344CEA">
        <w:rPr>
          <w:rFonts w:ascii="Times New Roman" w:hAnsi="Times New Roman" w:cs="Times New Roman"/>
          <w:lang w:val="vi-VN"/>
        </w:rPr>
        <w:t>00</w:t>
      </w:r>
      <w:r w:rsidR="00344CEA">
        <w:rPr>
          <w:rFonts w:ascii="Times New Roman" w:hAnsi="Times New Roman" w:cs="Times New Roman"/>
          <w:lang w:val="vi-V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344CEA" w:rsidRPr="00344CEA">
        <w:rPr>
          <w:rFonts w:ascii="Times New Roman" w:hAnsi="Times New Roman" w:cs="Times New Roman"/>
          <w:lang w:val="vi-VN"/>
        </w:rPr>
        <w:t xml:space="preserve"> </w:t>
      </w:r>
      <w:r w:rsidR="00205356">
        <w:rPr>
          <w:rFonts w:ascii="Times New Roman" w:hAnsi="Times New Roman" w:cs="Times New Roman"/>
          <w:lang w:val="vi-VN"/>
        </w:rPr>
        <w:t>141</w:t>
      </w:r>
      <w:r w:rsidR="00344CEA">
        <w:rPr>
          <w:rFonts w:ascii="Times New Roman" w:hAnsi="Times New Roman" w:cs="Times New Roman"/>
          <w:lang w:val="vi-VN"/>
        </w:rPr>
        <w:t>.</w:t>
      </w:r>
      <w:r w:rsidR="00205356">
        <w:rPr>
          <w:rFonts w:ascii="Times New Roman" w:hAnsi="Times New Roman" w:cs="Times New Roman"/>
          <w:lang w:val="vi-VN"/>
        </w:rPr>
        <w:t>767</w:t>
      </w:r>
      <w:r w:rsidR="00344CEA">
        <w:rPr>
          <w:rFonts w:ascii="Times New Roman" w:hAnsi="Times New Roman" w:cs="Times New Roman"/>
          <w:lang w:val="vi-VN"/>
        </w:rPr>
        <w:t>.</w:t>
      </w:r>
      <w:r w:rsidR="00205356">
        <w:rPr>
          <w:rFonts w:ascii="Times New Roman" w:hAnsi="Times New Roman" w:cs="Times New Roman"/>
          <w:lang w:val="vi-VN"/>
        </w:rPr>
        <w:t>232</w:t>
      </w:r>
      <w:r w:rsidR="00344CEA">
        <w:rPr>
          <w:rFonts w:ascii="Times New Roman" w:hAnsi="Times New Roman" w:cs="Times New Roman"/>
          <w:lang w:val="vi-VN"/>
        </w:rPr>
        <w:t>,</w:t>
      </w:r>
      <w:r w:rsidR="00205356">
        <w:rPr>
          <w:rFonts w:ascii="Times New Roman" w:hAnsi="Times New Roman" w:cs="Times New Roman"/>
          <w:lang w:val="vi-VN"/>
        </w:rPr>
        <w:t>76</w:t>
      </w:r>
      <w:r w:rsidR="00344CEA">
        <w:rPr>
          <w:rFonts w:ascii="Times New Roman" w:hAnsi="Times New Roman" w:cs="Times New Roman"/>
          <w:lang w:val="vi-VN"/>
        </w:rPr>
        <w:t xml:space="preserve">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r w:rsidRPr="00BB3CEE">
        <w:rPr>
          <w:rFonts w:ascii="Times New Roman" w:hAnsi="Times New Roman" w:cs="Times New Roman"/>
          <w:bCs/>
        </w:rPr>
        <w:t>Phần thuyết minh này được trình bày theo phụ lục đính kèm.</w:t>
      </w:r>
    </w:p>
    <w:bookmarkStart w:id="0" w:name="_MON_1766498836"/>
    <w:bookmarkEnd w:id="0"/>
    <w:p w14:paraId="387EDC05" w14:textId="3B93982F" w:rsidR="00C40DB9" w:rsidRPr="00C31BC5" w:rsidRDefault="00AE105D"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3" w14:anchorId="69155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14" o:title=""/>
          </v:shape>
          <o:OLEObject Type="Embed" ProgID="Excel.Sheet.12" ShapeID="_x0000_i1029" DrawAspect="Icon" ObjectID="_1766499096"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6B7C5C7B"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 xml:space="preserve">Bà </w:t>
            </w:r>
            <w:r w:rsidR="00106167">
              <w:rPr>
                <w:rFonts w:ascii="Times New Roman" w:hAnsi="Times New Roman" w:cs="Times New Roman"/>
                <w:b/>
              </w:rPr>
              <w:t>Lê Thị Huyền Trang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BAA6" w14:textId="77777777" w:rsidR="00AE105D" w:rsidRDefault="00AE1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073C" w14:textId="77777777" w:rsidR="00AE105D" w:rsidRDefault="00AE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425E" w14:textId="77777777" w:rsidR="00AE105D" w:rsidRDefault="00A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11AE9E14">
              <wp:simplePos x="0" y="0"/>
              <wp:positionH relativeFrom="page">
                <wp:posOffset>0</wp:posOffset>
              </wp:positionH>
              <wp:positionV relativeFrom="page">
                <wp:posOffset>190500</wp:posOffset>
              </wp:positionV>
              <wp:extent cx="7560310" cy="266700"/>
              <wp:effectExtent l="0" t="0" r="0" b="0"/>
              <wp:wrapNone/>
              <wp:docPr id="1" name="MSIPCM954947229a53aecea38ba30a"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52DB553D" w:rsidR="00633185" w:rsidRPr="004D5E20" w:rsidRDefault="004D5E20" w:rsidP="004D5E20">
                          <w:pPr>
                            <w:spacing w:after="0"/>
                            <w:rPr>
                              <w:rFonts w:ascii="Arial" w:hAnsi="Arial" w:cs="Arial"/>
                              <w:color w:val="317100"/>
                              <w:sz w:val="18"/>
                            </w:rPr>
                          </w:pPr>
                          <w:r w:rsidRPr="004D5E20">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954947229a53aecea38ba30a"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52DB553D" w:rsidR="00633185" w:rsidRPr="004D5E20" w:rsidRDefault="004D5E20" w:rsidP="004D5E20">
                    <w:pPr>
                      <w:spacing w:after="0"/>
                      <w:rPr>
                        <w:rFonts w:ascii="Arial" w:hAnsi="Arial" w:cs="Arial"/>
                        <w:color w:val="317100"/>
                        <w:sz w:val="18"/>
                      </w:rPr>
                    </w:pPr>
                    <w:r w:rsidRPr="004D5E20">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CA81" w14:textId="77777777" w:rsidR="00AE105D" w:rsidRDefault="00AE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617257">
    <w:abstractNumId w:val="22"/>
  </w:num>
  <w:num w:numId="2" w16cid:durableId="81802774">
    <w:abstractNumId w:val="25"/>
  </w:num>
  <w:num w:numId="3" w16cid:durableId="1911888048">
    <w:abstractNumId w:val="23"/>
  </w:num>
  <w:num w:numId="4" w16cid:durableId="1719670584">
    <w:abstractNumId w:val="31"/>
  </w:num>
  <w:num w:numId="5" w16cid:durableId="45296695">
    <w:abstractNumId w:val="15"/>
  </w:num>
  <w:num w:numId="6" w16cid:durableId="500655422">
    <w:abstractNumId w:val="8"/>
  </w:num>
  <w:num w:numId="7" w16cid:durableId="542717332">
    <w:abstractNumId w:val="36"/>
  </w:num>
  <w:num w:numId="8" w16cid:durableId="462044230">
    <w:abstractNumId w:val="4"/>
  </w:num>
  <w:num w:numId="9" w16cid:durableId="492453557">
    <w:abstractNumId w:val="27"/>
  </w:num>
  <w:num w:numId="10" w16cid:durableId="1441414435">
    <w:abstractNumId w:val="42"/>
  </w:num>
  <w:num w:numId="11" w16cid:durableId="2020308434">
    <w:abstractNumId w:val="6"/>
  </w:num>
  <w:num w:numId="12" w16cid:durableId="1950117351">
    <w:abstractNumId w:val="0"/>
  </w:num>
  <w:num w:numId="13" w16cid:durableId="1907180806">
    <w:abstractNumId w:val="38"/>
  </w:num>
  <w:num w:numId="14" w16cid:durableId="1377461390">
    <w:abstractNumId w:val="19"/>
  </w:num>
  <w:num w:numId="15" w16cid:durableId="816191668">
    <w:abstractNumId w:val="43"/>
  </w:num>
  <w:num w:numId="16" w16cid:durableId="1334531394">
    <w:abstractNumId w:val="5"/>
  </w:num>
  <w:num w:numId="17" w16cid:durableId="452868124">
    <w:abstractNumId w:val="13"/>
  </w:num>
  <w:num w:numId="18" w16cid:durableId="1148278360">
    <w:abstractNumId w:val="37"/>
  </w:num>
  <w:num w:numId="19" w16cid:durableId="817265859">
    <w:abstractNumId w:val="41"/>
  </w:num>
  <w:num w:numId="20" w16cid:durableId="1088841375">
    <w:abstractNumId w:val="21"/>
  </w:num>
  <w:num w:numId="21" w16cid:durableId="1579974606">
    <w:abstractNumId w:val="26"/>
  </w:num>
  <w:num w:numId="22" w16cid:durableId="473062216">
    <w:abstractNumId w:val="33"/>
  </w:num>
  <w:num w:numId="23" w16cid:durableId="1613782439">
    <w:abstractNumId w:val="32"/>
  </w:num>
  <w:num w:numId="24" w16cid:durableId="1639265326">
    <w:abstractNumId w:val="39"/>
  </w:num>
  <w:num w:numId="25" w16cid:durableId="1591084559">
    <w:abstractNumId w:val="35"/>
  </w:num>
  <w:num w:numId="26" w16cid:durableId="563489754">
    <w:abstractNumId w:val="2"/>
  </w:num>
  <w:num w:numId="27" w16cid:durableId="1789230228">
    <w:abstractNumId w:val="3"/>
  </w:num>
  <w:num w:numId="28" w16cid:durableId="1784693924">
    <w:abstractNumId w:val="29"/>
  </w:num>
  <w:num w:numId="29" w16cid:durableId="527793963">
    <w:abstractNumId w:val="12"/>
  </w:num>
  <w:num w:numId="30" w16cid:durableId="86654907">
    <w:abstractNumId w:val="18"/>
  </w:num>
  <w:num w:numId="31" w16cid:durableId="1397389095">
    <w:abstractNumId w:val="16"/>
  </w:num>
  <w:num w:numId="32" w16cid:durableId="86120090">
    <w:abstractNumId w:val="40"/>
  </w:num>
  <w:num w:numId="33" w16cid:durableId="502234651">
    <w:abstractNumId w:val="45"/>
  </w:num>
  <w:num w:numId="34" w16cid:durableId="1317687203">
    <w:abstractNumId w:val="47"/>
  </w:num>
  <w:num w:numId="35" w16cid:durableId="1814055197">
    <w:abstractNumId w:val="17"/>
  </w:num>
  <w:num w:numId="36" w16cid:durableId="1709573014">
    <w:abstractNumId w:val="11"/>
  </w:num>
  <w:num w:numId="37" w16cid:durableId="724721946">
    <w:abstractNumId w:val="20"/>
  </w:num>
  <w:num w:numId="38" w16cid:durableId="2085373429">
    <w:abstractNumId w:val="7"/>
  </w:num>
  <w:num w:numId="39" w16cid:durableId="1018582089">
    <w:abstractNumId w:val="46"/>
  </w:num>
  <w:num w:numId="40" w16cid:durableId="7485777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125069">
    <w:abstractNumId w:val="1"/>
  </w:num>
  <w:num w:numId="42" w16cid:durableId="1947541142">
    <w:abstractNumId w:val="9"/>
  </w:num>
  <w:num w:numId="43" w16cid:durableId="2046828371">
    <w:abstractNumId w:val="14"/>
  </w:num>
  <w:num w:numId="44" w16cid:durableId="1978294293">
    <w:abstractNumId w:val="10"/>
  </w:num>
  <w:num w:numId="45" w16cid:durableId="124738675">
    <w:abstractNumId w:val="44"/>
  </w:num>
  <w:num w:numId="46" w16cid:durableId="1957910555">
    <w:abstractNumId w:val="30"/>
  </w:num>
  <w:num w:numId="47" w16cid:durableId="1766655744">
    <w:abstractNumId w:val="24"/>
  </w:num>
  <w:num w:numId="48" w16cid:durableId="2810349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5356"/>
    <w:rsid w:val="0020664E"/>
    <w:rsid w:val="002067AB"/>
    <w:rsid w:val="0021160F"/>
    <w:rsid w:val="00213213"/>
    <w:rsid w:val="00216376"/>
    <w:rsid w:val="002169ED"/>
    <w:rsid w:val="00217323"/>
    <w:rsid w:val="00217BE1"/>
    <w:rsid w:val="00221691"/>
    <w:rsid w:val="0022187F"/>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4CEA"/>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5E20"/>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4773"/>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05D"/>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41B9"/>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uuqqUgeM27tTkOmCbMHdxsv6EU6xbPnNUQLK+rPW4tE=</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5JyImS9LQU7OVSyIVd64zJB38Vz9q13Lsvcb7RbVhzk=</DigestValue>
    </Reference>
  </SignedInfo>
  <SignatureValue>4aYA39IPu1Bi67fKfeSDij76kYtRT28GPeXDH/7GBfM4+cUsk5bnXT1EDBO1xHU9Kg2wSnIN07I6
qwRK+VwyvtWXyAXhRGXG+925dPtxoSvXuGhBdkcdLI9j1Q0YQM3XUv1V0zC3UU8XMlJz+dAJGM18
HyyOByrLqNGAshZtTB3ajVXVxchirLlcV03YDM/j6UepytoLRSVSc8FYi4rqMVdlJN0/18b9rklG
Rw8QpTw4EczeHCjY26VDETwxA8E6tmwAe+IlgvP4IWc+fxYxVh8/GkLFqHpXeYmc6GfWI8EeaIa4
kGTmyedHm5YupuFGz3vGpqE0eXuHpqIqmSYkqg==</SignatureValue>
  <KeyInfo>
    <X509Data>
      <X509Certificate>MIIFVTCCBD2gAwIBAgIQVAEBAcalnHcPtQw3cUk+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QWo9LV7c4pO5J/m3sASJrGMUIlzBKORYqnPIB9TodublGHG0Gzixzs6XLRpltwKdZ8DpUSnP/xt9BVRnIDIjGmI716eFzhM0uFNFn5EzTeSFsMlsx504owOwUMcxcqdkk8UvnXTKEM87wt1k21zlOAxcdkO8Me1T6ulGX5pb+1NlhESJucuvHfBQRB0G53v3FTAneWlyIbKdeP93MsZYoPEPhcIrYwXljCM0FMT6vVWr1wN5/CJwk29BMa9tw+jvxTKnF6Ck3Bw5KdYjL39AgxzxibItXIrHcrbkfbzAgMBAAGjggHJMIIBxTB+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TMpyscwqkcB2pyc5FQQvIF8rCEZvNce2Rlwohp9IaSyYKjVUckCJ0hgpR9rQvipt9M5xO1y1m9ZGWKvscHXKJZwU6kT4gykoL+ENq7MYs5SOYOrYARUQWYe3PcFbvxwacnVBCxcSJHux/p604zfB7dgUupHUaILP/aozE/ExRRI6kVwrhkCBiiJFLZJX+aX5cjo54OnF+TLmvbgGteu4kQDHtYMNRt6f27Mei1MQjo7PutrNn+gWMg68rQDsaZLJnCUAsMk0+5MkdltzKy/Pd2r4DAGgAL6eRkTC4SHd+p9KrLJeYqLOf+UXZzVjGHqIDGFIgKTdFrPGN/NPVgcx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5zoh4d+hq4u9B0YmBOxgu8r5ahitqY8JVu4/zXd3bto=</DigestValue>
      </Reference>
      <Reference URI="/word/embeddings/Microsoft_Excel_Worksheet.xlsx?ContentType=application/vnd.openxmlformats-officedocument.spreadsheetml.sheet">
        <DigestMethod Algorithm="http://www.w3.org/2001/04/xmlenc#sha256"/>
        <DigestValue>0JbGy4PX32K9g+2M+bDSIG8ZA99mrx0FsZyGKQ1WWFc=</DigestValue>
      </Reference>
      <Reference URI="/word/endnotes.xml?ContentType=application/vnd.openxmlformats-officedocument.wordprocessingml.endnotes+xml">
        <DigestMethod Algorithm="http://www.w3.org/2001/04/xmlenc#sha256"/>
        <DigestValue>HOFWiOTf8e0BXQWVmjT4fEUkwnXm2rO4ChkoQHI5wsc=</DigestValue>
      </Reference>
      <Reference URI="/word/fontTable.xml?ContentType=application/vnd.openxmlformats-officedocument.wordprocessingml.fontTable+xml">
        <DigestMethod Algorithm="http://www.w3.org/2001/04/xmlenc#sha256"/>
        <DigestValue>SU/pSG9PQ3OVWEXXODq1Q7VctUc8AIOME/p543qv91s=</DigestValue>
      </Reference>
      <Reference URI="/word/footer1.xml?ContentType=application/vnd.openxmlformats-officedocument.wordprocessingml.footer+xml">
        <DigestMethod Algorithm="http://www.w3.org/2001/04/xmlenc#sha256"/>
        <DigestValue>OTf4G3262tHsKgCFM0XL/+bXhdVtvgYyCQ7WnN83kyI=</DigestValue>
      </Reference>
      <Reference URI="/word/footer2.xml?ContentType=application/vnd.openxmlformats-officedocument.wordprocessingml.footer+xml">
        <DigestMethod Algorithm="http://www.w3.org/2001/04/xmlenc#sha256"/>
        <DigestValue>0Z1hM5sKxdWI6b+EniDtnmAbTCKFn7HdbTrcCz1gf5E=</DigestValue>
      </Reference>
      <Reference URI="/word/footer3.xml?ContentType=application/vnd.openxmlformats-officedocument.wordprocessingml.footer+xml">
        <DigestMethod Algorithm="http://www.w3.org/2001/04/xmlenc#sha256"/>
        <DigestValue>6iBSNbQJTUBU6Sbp0e3qf+X4iKJ0N6eC0JvIhBtFAvc=</DigestValue>
      </Reference>
      <Reference URI="/word/footnotes.xml?ContentType=application/vnd.openxmlformats-officedocument.wordprocessingml.footnotes+xml">
        <DigestMethod Algorithm="http://www.w3.org/2001/04/xmlenc#sha256"/>
        <DigestValue>iW2ogEJrp0zWx2cRIBHc+QABi0sDHQ30+QtM/lwJPn8=</DigestValue>
      </Reference>
      <Reference URI="/word/header1.xml?ContentType=application/vnd.openxmlformats-officedocument.wordprocessingml.header+xml">
        <DigestMethod Algorithm="http://www.w3.org/2001/04/xmlenc#sha256"/>
        <DigestValue>RwdrtqgPkJg9i47meD+Do6yxaCQLX9QNxurs0Ep8ams=</DigestValue>
      </Reference>
      <Reference URI="/word/header2.xml?ContentType=application/vnd.openxmlformats-officedocument.wordprocessingml.header+xml">
        <DigestMethod Algorithm="http://www.w3.org/2001/04/xmlenc#sha256"/>
        <DigestValue>ljm4XPxiatRPFTWdRfCw/kuX62/rVQ/HpgkpkSWSJF4=</DigestValue>
      </Reference>
      <Reference URI="/word/header3.xml?ContentType=application/vnd.openxmlformats-officedocument.wordprocessingml.header+xml">
        <DigestMethod Algorithm="http://www.w3.org/2001/04/xmlenc#sha256"/>
        <DigestValue>/JOI7LgTrCYbWQ1KdFU32UW0vsmiwT6rznyCuGgONec=</DigestValue>
      </Reference>
      <Reference URI="/word/media/image1.emf?ContentType=image/x-emf">
        <DigestMethod Algorithm="http://www.w3.org/2001/04/xmlenc#sha256"/>
        <DigestValue>nJi9+vU0257hZsrjVIzDq7eMWFSMmSZ6nykkBzFNIiw=</DigestValue>
      </Reference>
      <Reference URI="/word/numbering.xml?ContentType=application/vnd.openxmlformats-officedocument.wordprocessingml.numbering+xml">
        <DigestMethod Algorithm="http://www.w3.org/2001/04/xmlenc#sha256"/>
        <DigestValue>dQG63HtFD2a9O5oOlwdsjJYSVxPfVsmDEeYuM3vHTYc=</DigestValue>
      </Reference>
      <Reference URI="/word/settings.xml?ContentType=application/vnd.openxmlformats-officedocument.wordprocessingml.settings+xml">
        <DigestMethod Algorithm="http://www.w3.org/2001/04/xmlenc#sha256"/>
        <DigestValue>3045QqY2lgPw6mlGPNdQrpL09qTOdsS11NYCZB5SvuQ=</DigestValue>
      </Reference>
      <Reference URI="/word/styles.xml?ContentType=application/vnd.openxmlformats-officedocument.wordprocessingml.styles+xml">
        <DigestMethod Algorithm="http://www.w3.org/2001/04/xmlenc#sha256"/>
        <DigestValue>ZT8Uz3pyaig4JE1HMGJhxkJkWeLETZ9vcP8g7nwPToc=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k19mTI1IDX5RQ0IzdIeYAnhbZsm2S6TO1zJJGgYMDT8=</DigestValue>
      </Reference>
    </Manifest>
    <SignatureProperties>
      <SignatureProperty Id="idSignatureTime" Target="#idPackageSignature">
        <mdssi:SignatureTime xmlns:mdssi="http://schemas.openxmlformats.org/package/2006/digital-signature">
          <mdssi:Format>YYYY-MM-DDThh:mm:ssTZD</mdssi:Format>
          <mdssi:Value>2024-01-11T10:35:09Z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2024-01-11T10:35:09Z</xd:SigningTime>
          <xd:SigningCertificate>
            <xd:Cert>
              <xd:CertDigest>
                <DigestMethod Algorithm="http://www.w3.org/2001/04/xmlenc#sha256"/>
                <DigestValue>UXVj+MapDh/H7UtaWL1zsPH+E0jCw4P3cM6r6+rf8t4=</DigestValue>
              </xd:CertDigest>
              <xd:IssuerSerial>
                <X509IssuerName>CN=VNPT-CA SHA-256, O=VIETNAM POSTS AND TELECOMMUNICATIONS GROUP, C=VN</X509IssuerName>
                <X509SerialNumber>111660364365907477907811519271713455762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1wrKyh+rX6oH19kukLQUiomb9yc=</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tDZLk6jCDhRE2dV/m/33gF+FmEs=</DigestValue>
    </Reference>
  </SignedInfo>
  <SignatureValue>K5j9/bwH899e3ze+IqfAesb1BO59roL6wb7jK7QHWdoSnBsDkwcI+DSkPAEP5HIJijdeKj8yFQvm
bVtxoN3l8CV1u7affjAJgzjCCaAziwWAsE47sPdPHkNGGLNboPrGjwDW2hZEZwhlUt2gNsSZf23K
bTfIq9hu5o1I3R2oQWs=</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7KcPJL8VbhZdeKfxaoNYSlGwmZs=</DigestValue>
      </Reference>
      <Reference URI="/word/embeddings/Microsoft_Excel_Worksheet.xlsx?ContentType=application/vnd.openxmlformats-officedocument.spreadsheetml.sheet">
        <DigestMethod Algorithm="http://www.w3.org/2000/09/xmldsig#sha1"/>
        <DigestValue>3cHMpagYL3xIN4te3vBZkLXuOpU=</DigestValue>
      </Reference>
      <Reference URI="/word/endnotes.xml?ContentType=application/vnd.openxmlformats-officedocument.wordprocessingml.endnotes+xml">
        <DigestMethod Algorithm="http://www.w3.org/2000/09/xmldsig#sha1"/>
        <DigestValue>JWYMsz5zvxldWPmfTiTxmztCoRU=</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MBDBtx20ZQEC+sfJR8irk8Xka+Q=</DigestValue>
      </Reference>
      <Reference URI="/word/footer2.xml?ContentType=application/vnd.openxmlformats-officedocument.wordprocessingml.footer+xml">
        <DigestMethod Algorithm="http://www.w3.org/2000/09/xmldsig#sha1"/>
        <DigestValue>8PaNSlZAOlZY4F+8ZGmCjdNe4QY=</DigestValue>
      </Reference>
      <Reference URI="/word/footer3.xml?ContentType=application/vnd.openxmlformats-officedocument.wordprocessingml.footer+xml">
        <DigestMethod Algorithm="http://www.w3.org/2000/09/xmldsig#sha1"/>
        <DigestValue>qDA7oAFhCwxJnv99XBkttmwQN5Y=</DigestValue>
      </Reference>
      <Reference URI="/word/footnotes.xml?ContentType=application/vnd.openxmlformats-officedocument.wordprocessingml.footnotes+xml">
        <DigestMethod Algorithm="http://www.w3.org/2000/09/xmldsig#sha1"/>
        <DigestValue>kMqCZTRAVw457bZ7Uyabq/RRMes=</DigestValue>
      </Reference>
      <Reference URI="/word/header1.xml?ContentType=application/vnd.openxmlformats-officedocument.wordprocessingml.header+xml">
        <DigestMethod Algorithm="http://www.w3.org/2000/09/xmldsig#sha1"/>
        <DigestValue>hJ516Rq8m/xJZCrGFNuo0uEr1oM=</DigestValue>
      </Reference>
      <Reference URI="/word/header2.xml?ContentType=application/vnd.openxmlformats-officedocument.wordprocessingml.header+xml">
        <DigestMethod Algorithm="http://www.w3.org/2000/09/xmldsig#sha1"/>
        <DigestValue>p1N7gsrhn83poDd0gq92FIt7z7Y=</DigestValue>
      </Reference>
      <Reference URI="/word/header3.xml?ContentType=application/vnd.openxmlformats-officedocument.wordprocessingml.header+xml">
        <DigestMethod Algorithm="http://www.w3.org/2000/09/xmldsig#sha1"/>
        <DigestValue>Qk/avm/k5gfQNYxa1wPrRtQPHCY=</DigestValue>
      </Reference>
      <Reference URI="/word/media/image1.emf?ContentType=image/x-emf">
        <DigestMethod Algorithm="http://www.w3.org/2000/09/xmldsig#sha1"/>
        <DigestValue>+KUr4ea5SFulSFZMbz49mmezTrs=</DigestValue>
      </Reference>
      <Reference URI="/word/numbering.xml?ContentType=application/vnd.openxmlformats-officedocument.wordprocessingml.numbering+xml">
        <DigestMethod Algorithm="http://www.w3.org/2000/09/xmldsig#sha1"/>
        <DigestValue>QeREvj12heV8azZ2z/uTgSjcHEQ=</DigestValue>
      </Reference>
      <Reference URI="/word/settings.xml?ContentType=application/vnd.openxmlformats-officedocument.wordprocessingml.settings+xml">
        <DigestMethod Algorithm="http://www.w3.org/2000/09/xmldsig#sha1"/>
        <DigestValue>mk1a5KMeHQLL5e4ZWiYmxidXL/w=</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2024-01-15T07:28:31Z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2024-01-15T07:28:31Z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8</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Tung, Lam</cp:lastModifiedBy>
  <cp:revision>194</cp:revision>
  <cp:lastPrinted>2020-01-10T04:13:00Z</cp:lastPrinted>
  <dcterms:created xsi:type="dcterms:W3CDTF">2020-04-08T08:13:00Z</dcterms:created>
  <dcterms:modified xsi:type="dcterms:W3CDTF">2024-01-11T10:25:00Z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2024-01-11T10:25:39Z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d7d4f5fa-42f5-49c0-ae3b-fc539202a827</vt:lpwstr>
  </property>
  <property fmtid="{D5CDD505-2E9C-101B-9397-08002B2CF9AE}" pid="8" name="MSIP_Label_ebbfc019-7f88-4fb6-96d6-94ffadd4b772_ContentBits">
    <vt:lpwstr>1</vt:lpwstr>
  </property>
</Properties>
</file>