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790" w:type="pct"/>
        <w:tblInd w:w="-630" w:type="dxa"/>
        <w:tblLook w:val="01E0" w:firstRow="1" w:lastRow="1" w:firstColumn="1" w:lastColumn="1" w:noHBand="0" w:noVBand="0"/>
      </w:tblPr>
      <w:tblGrid>
        <w:gridCol w:w="5400"/>
        <w:gridCol w:w="6064"/>
      </w:tblGrid>
      <w:tr w:rsidR="007A20FD" w:rsidRPr="00263987" w:rsidTr="00E33D0F">
        <w:trPr>
          <w:trHeight w:val="1260"/>
        </w:trPr>
        <w:tc>
          <w:tcPr>
            <w:tcW w:w="2355" w:type="pct"/>
          </w:tcPr>
          <w:p w:rsidR="007A20FD" w:rsidRPr="00B552CB" w:rsidRDefault="007A20FD" w:rsidP="006620B7">
            <w:pPr>
              <w:ind w:left="90" w:hanging="87"/>
              <w:jc w:val="center"/>
              <w:rPr>
                <w:b/>
              </w:rPr>
            </w:pPr>
            <w:r w:rsidRPr="00B552CB">
              <w:rPr>
                <w:b/>
                <w:sz w:val="22"/>
                <w:szCs w:val="22"/>
              </w:rPr>
              <w:t xml:space="preserve">CÔNG TY </w:t>
            </w:r>
            <w:r w:rsidR="00E33D0F">
              <w:rPr>
                <w:b/>
                <w:sz w:val="22"/>
                <w:szCs w:val="22"/>
              </w:rPr>
              <w:t>CỔ PHẦN</w:t>
            </w:r>
            <w:r w:rsidRPr="00B552CB">
              <w:rPr>
                <w:b/>
                <w:sz w:val="22"/>
                <w:szCs w:val="22"/>
              </w:rPr>
              <w:t xml:space="preserve"> </w:t>
            </w:r>
            <w:r w:rsidR="00D82C13">
              <w:rPr>
                <w:b/>
                <w:sz w:val="22"/>
                <w:szCs w:val="22"/>
              </w:rPr>
              <w:t>QUẢN LÝ QUỸ</w:t>
            </w:r>
          </w:p>
          <w:p w:rsidR="007A20FD" w:rsidRPr="00B552CB" w:rsidRDefault="007A20FD" w:rsidP="006620B7">
            <w:pPr>
              <w:ind w:left="90" w:hanging="87"/>
              <w:jc w:val="center"/>
              <w:rPr>
                <w:b/>
              </w:rPr>
            </w:pPr>
            <w:r w:rsidRPr="00B552CB">
              <w:rPr>
                <w:b/>
                <w:sz w:val="22"/>
                <w:szCs w:val="22"/>
              </w:rPr>
              <w:t>KỸ THƯƠNG</w:t>
            </w:r>
          </w:p>
          <w:p w:rsidR="007A20FD" w:rsidRPr="00B552CB" w:rsidRDefault="00D82C13" w:rsidP="006620B7">
            <w:pPr>
              <w:jc w:val="center"/>
            </w:pPr>
            <w:r>
              <w:rPr>
                <w:noProof/>
              </w:rPr>
              <w:drawing>
                <wp:inline distT="0" distB="0" distL="0" distR="0">
                  <wp:extent cx="2160000" cy="316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api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6547" cy="321581"/>
                          </a:xfrm>
                          <a:prstGeom prst="rect">
                            <a:avLst/>
                          </a:prstGeom>
                        </pic:spPr>
                      </pic:pic>
                    </a:graphicData>
                  </a:graphic>
                </wp:inline>
              </w:drawing>
            </w:r>
          </w:p>
          <w:p w:rsidR="007A20FD" w:rsidRPr="00B552CB" w:rsidRDefault="00D75931" w:rsidP="00D82C13">
            <w:pPr>
              <w:jc w:val="center"/>
              <w:rPr>
                <w:i/>
              </w:rPr>
            </w:pPr>
            <w:r>
              <w:t xml:space="preserve">Số: </w:t>
            </w:r>
            <w:r w:rsidR="00E33D0F">
              <w:t xml:space="preserve"> </w:t>
            </w:r>
            <w:r w:rsidR="00D82C13">
              <w:t xml:space="preserve">   </w:t>
            </w:r>
            <w:r w:rsidR="00E33D0F">
              <w:t xml:space="preserve">  </w:t>
            </w:r>
            <w:r w:rsidRPr="00D75931">
              <w:t>/201</w:t>
            </w:r>
            <w:r w:rsidR="00C44292">
              <w:t>9</w:t>
            </w:r>
            <w:r w:rsidRPr="00D75931">
              <w:t>/</w:t>
            </w:r>
            <w:r w:rsidR="00D82C13">
              <w:t>TT</w:t>
            </w:r>
            <w:r w:rsidR="00C44292">
              <w:t>-</w:t>
            </w:r>
            <w:r w:rsidR="00D82C13">
              <w:t>ĐHĐCĐ</w:t>
            </w:r>
          </w:p>
        </w:tc>
        <w:tc>
          <w:tcPr>
            <w:tcW w:w="2645" w:type="pct"/>
          </w:tcPr>
          <w:p w:rsidR="007A20FD" w:rsidRPr="00B552CB" w:rsidRDefault="007A20FD" w:rsidP="006620B7">
            <w:pPr>
              <w:ind w:left="472"/>
              <w:jc w:val="center"/>
              <w:rPr>
                <w:b/>
              </w:rPr>
            </w:pPr>
            <w:r w:rsidRPr="00B552CB">
              <w:rPr>
                <w:b/>
                <w:sz w:val="22"/>
                <w:szCs w:val="22"/>
              </w:rPr>
              <w:t>CỘNG HOÀ XÃ HỘI CHỦ NGHĨA VIỆT NAM</w:t>
            </w:r>
          </w:p>
          <w:p w:rsidR="007A20FD" w:rsidRPr="00B552CB" w:rsidRDefault="007A20FD" w:rsidP="006620B7">
            <w:pPr>
              <w:ind w:left="382"/>
              <w:jc w:val="center"/>
              <w:rPr>
                <w:b/>
              </w:rPr>
            </w:pPr>
            <w:r w:rsidRPr="00B552CB">
              <w:rPr>
                <w:b/>
                <w:sz w:val="22"/>
                <w:szCs w:val="22"/>
              </w:rPr>
              <w:t>Độc lập - Tự do - Hạnh phúc</w:t>
            </w:r>
          </w:p>
          <w:p w:rsidR="007A20FD" w:rsidRPr="00B552CB" w:rsidRDefault="007A20FD" w:rsidP="006620B7">
            <w:pPr>
              <w:jc w:val="center"/>
            </w:pPr>
            <w:r w:rsidRPr="00B552CB">
              <w:rPr>
                <w:sz w:val="22"/>
                <w:szCs w:val="22"/>
              </w:rPr>
              <w:t>---***---</w:t>
            </w:r>
          </w:p>
          <w:p w:rsidR="00E33D0F" w:rsidRDefault="007A20FD" w:rsidP="00C44292">
            <w:pPr>
              <w:jc w:val="center"/>
              <w:rPr>
                <w:i/>
                <w:sz w:val="22"/>
                <w:szCs w:val="22"/>
              </w:rPr>
            </w:pPr>
            <w:r w:rsidRPr="00B552CB">
              <w:rPr>
                <w:i/>
                <w:sz w:val="22"/>
                <w:szCs w:val="22"/>
              </w:rPr>
              <w:t xml:space="preserve">                                       </w:t>
            </w:r>
          </w:p>
          <w:p w:rsidR="007A20FD" w:rsidRPr="00B552CB" w:rsidRDefault="00D82C13" w:rsidP="00D82C13">
            <w:pPr>
              <w:jc w:val="center"/>
              <w:rPr>
                <w:i/>
              </w:rPr>
            </w:pPr>
            <w:r>
              <w:rPr>
                <w:i/>
                <w:sz w:val="22"/>
                <w:szCs w:val="22"/>
              </w:rPr>
              <w:t xml:space="preserve">                </w:t>
            </w:r>
            <w:r w:rsidR="007A20FD" w:rsidRPr="00B552CB">
              <w:rPr>
                <w:i/>
                <w:sz w:val="22"/>
                <w:szCs w:val="22"/>
              </w:rPr>
              <w:t xml:space="preserve">Hà Nội, ngày </w:t>
            </w:r>
            <w:r w:rsidR="00E33D0F">
              <w:rPr>
                <w:i/>
                <w:sz w:val="22"/>
                <w:szCs w:val="22"/>
              </w:rPr>
              <w:t xml:space="preserve">   </w:t>
            </w:r>
            <w:r w:rsidR="007A20FD" w:rsidRPr="00B552CB">
              <w:rPr>
                <w:i/>
                <w:sz w:val="22"/>
                <w:szCs w:val="22"/>
              </w:rPr>
              <w:t xml:space="preserve"> </w:t>
            </w:r>
            <w:r w:rsidR="00E33D0F">
              <w:rPr>
                <w:i/>
                <w:sz w:val="22"/>
                <w:szCs w:val="22"/>
              </w:rPr>
              <w:t xml:space="preserve"> </w:t>
            </w:r>
            <w:r w:rsidR="007A20FD" w:rsidRPr="00B552CB">
              <w:rPr>
                <w:i/>
                <w:sz w:val="22"/>
                <w:szCs w:val="22"/>
              </w:rPr>
              <w:t xml:space="preserve">tháng </w:t>
            </w:r>
            <w:r>
              <w:rPr>
                <w:i/>
                <w:sz w:val="22"/>
                <w:szCs w:val="22"/>
              </w:rPr>
              <w:t xml:space="preserve">  </w:t>
            </w:r>
            <w:r w:rsidR="00E33D0F">
              <w:rPr>
                <w:i/>
                <w:sz w:val="22"/>
                <w:szCs w:val="22"/>
              </w:rPr>
              <w:t xml:space="preserve">  </w:t>
            </w:r>
            <w:r w:rsidR="007A20FD" w:rsidRPr="00B552CB">
              <w:rPr>
                <w:i/>
                <w:sz w:val="22"/>
                <w:szCs w:val="22"/>
              </w:rPr>
              <w:t>năm 201</w:t>
            </w:r>
            <w:r w:rsidR="00C44292">
              <w:rPr>
                <w:i/>
                <w:sz w:val="22"/>
                <w:szCs w:val="22"/>
              </w:rPr>
              <w:t>9</w:t>
            </w:r>
          </w:p>
        </w:tc>
      </w:tr>
    </w:tbl>
    <w:p w:rsidR="00946134" w:rsidRDefault="00946134" w:rsidP="00BF1185">
      <w:pPr>
        <w:spacing w:before="80" w:after="80"/>
        <w:jc w:val="center"/>
        <w:rPr>
          <w:b/>
          <w:sz w:val="32"/>
          <w:szCs w:val="32"/>
        </w:rPr>
      </w:pPr>
    </w:p>
    <w:p w:rsidR="00AD0F76" w:rsidRDefault="00D82C13" w:rsidP="009175F1">
      <w:pPr>
        <w:spacing w:before="80" w:after="80"/>
        <w:jc w:val="center"/>
        <w:rPr>
          <w:b/>
          <w:sz w:val="32"/>
          <w:szCs w:val="32"/>
        </w:rPr>
      </w:pPr>
      <w:r>
        <w:rPr>
          <w:b/>
          <w:sz w:val="32"/>
          <w:szCs w:val="32"/>
        </w:rPr>
        <w:t>TỜ TRÌNH</w:t>
      </w:r>
    </w:p>
    <w:p w:rsidR="00E33D0F" w:rsidRPr="00E615C0" w:rsidRDefault="00D82C13" w:rsidP="009175F1">
      <w:pPr>
        <w:spacing w:before="80" w:after="80"/>
        <w:jc w:val="center"/>
        <w:rPr>
          <w:b/>
          <w:sz w:val="32"/>
          <w:szCs w:val="32"/>
        </w:rPr>
      </w:pPr>
      <w:r>
        <w:rPr>
          <w:b/>
          <w:sz w:val="32"/>
          <w:szCs w:val="32"/>
        </w:rPr>
        <w:t>ĐẠI HỘI</w:t>
      </w:r>
      <w:r w:rsidR="00E33D0F">
        <w:rPr>
          <w:b/>
          <w:sz w:val="32"/>
          <w:szCs w:val="32"/>
        </w:rPr>
        <w:t xml:space="preserve"> ĐỒNG </w:t>
      </w:r>
      <w:r>
        <w:rPr>
          <w:b/>
          <w:sz w:val="32"/>
          <w:szCs w:val="32"/>
        </w:rPr>
        <w:t>CỔ ĐÔNG THƯỜNG NIÊN 2019</w:t>
      </w:r>
    </w:p>
    <w:p w:rsidR="00D82C13" w:rsidRDefault="00D82C13" w:rsidP="009175F1">
      <w:pPr>
        <w:jc w:val="center"/>
        <w:rPr>
          <w:i/>
        </w:rPr>
      </w:pPr>
      <w:r>
        <w:rPr>
          <w:i/>
        </w:rPr>
        <w:t xml:space="preserve">(V/v: Thông qua Báo cáo Tài chính, Báo cáo tỷ lệ </w:t>
      </w:r>
      <w:proofErr w:type="gramStart"/>
      <w:r>
        <w:rPr>
          <w:i/>
        </w:rPr>
        <w:t>An</w:t>
      </w:r>
      <w:proofErr w:type="gramEnd"/>
      <w:r>
        <w:rPr>
          <w:i/>
        </w:rPr>
        <w:t xml:space="preserve"> toàn Tài chính </w:t>
      </w:r>
    </w:p>
    <w:p w:rsidR="00AD0F76" w:rsidRDefault="00D82C13" w:rsidP="009175F1">
      <w:pPr>
        <w:jc w:val="center"/>
        <w:rPr>
          <w:i/>
        </w:rPr>
      </w:pPr>
      <w:proofErr w:type="gramStart"/>
      <w:r>
        <w:rPr>
          <w:i/>
        </w:rPr>
        <w:t>và</w:t>
      </w:r>
      <w:proofErr w:type="gramEnd"/>
      <w:r>
        <w:rPr>
          <w:i/>
        </w:rPr>
        <w:t xml:space="preserve"> Phương án Phân phối lợi nhuận năm 2018)</w:t>
      </w:r>
    </w:p>
    <w:p w:rsidR="00AD0F76" w:rsidRPr="002B6323" w:rsidRDefault="00AD0F76" w:rsidP="009175F1">
      <w:pPr>
        <w:tabs>
          <w:tab w:val="left" w:pos="357"/>
        </w:tabs>
        <w:spacing w:before="80" w:after="80"/>
        <w:jc w:val="both"/>
        <w:rPr>
          <w:b/>
          <w:i/>
          <w:u w:val="single"/>
        </w:rPr>
      </w:pPr>
    </w:p>
    <w:p w:rsidR="00AD0F76" w:rsidRDefault="00C2387A" w:rsidP="00C2387A">
      <w:pPr>
        <w:tabs>
          <w:tab w:val="left" w:pos="357"/>
        </w:tabs>
        <w:spacing w:before="80" w:after="80"/>
        <w:jc w:val="center"/>
        <w:rPr>
          <w:b/>
        </w:rPr>
      </w:pPr>
      <w:r w:rsidRPr="002B6323">
        <w:rPr>
          <w:b/>
          <w:i/>
          <w:u w:val="single"/>
        </w:rPr>
        <w:t>Kính trình</w:t>
      </w:r>
      <w:r w:rsidR="00AD0F76" w:rsidRPr="0046721B">
        <w:rPr>
          <w:b/>
          <w:u w:val="single"/>
        </w:rPr>
        <w:t>:</w:t>
      </w:r>
      <w:r w:rsidR="002B6323">
        <w:rPr>
          <w:b/>
        </w:rPr>
        <w:t xml:space="preserve"> </w:t>
      </w:r>
      <w:r>
        <w:rPr>
          <w:b/>
        </w:rPr>
        <w:t>Đại hội đồng</w:t>
      </w:r>
      <w:r w:rsidR="00E33D0F">
        <w:rPr>
          <w:b/>
        </w:rPr>
        <w:t xml:space="preserve"> cổ đông Công ty cổ phần </w:t>
      </w:r>
      <w:r>
        <w:rPr>
          <w:b/>
        </w:rPr>
        <w:t>Quản lý Quỹ</w:t>
      </w:r>
      <w:r w:rsidR="00E33D0F">
        <w:rPr>
          <w:b/>
        </w:rPr>
        <w:t xml:space="preserve"> Kỹ Thương</w:t>
      </w:r>
    </w:p>
    <w:p w:rsidR="00E33D0F" w:rsidRDefault="00E33D0F" w:rsidP="009175F1">
      <w:pPr>
        <w:tabs>
          <w:tab w:val="left" w:pos="357"/>
        </w:tabs>
        <w:spacing w:before="80" w:after="80"/>
        <w:jc w:val="both"/>
        <w:rPr>
          <w:b/>
        </w:rPr>
      </w:pPr>
    </w:p>
    <w:p w:rsidR="00E33D0F" w:rsidRDefault="00E33D0F" w:rsidP="00DB59A6">
      <w:pPr>
        <w:tabs>
          <w:tab w:val="left" w:pos="357"/>
        </w:tabs>
        <w:spacing w:before="80" w:after="80"/>
        <w:ind w:left="547" w:hanging="547"/>
        <w:jc w:val="both"/>
      </w:pPr>
      <w:r w:rsidRPr="00E33D0F">
        <w:t xml:space="preserve">         Hội đồng</w:t>
      </w:r>
      <w:r>
        <w:t xml:space="preserve"> quản trị Công ty</w:t>
      </w:r>
      <w:r w:rsidR="00A36500">
        <w:t xml:space="preserve"> cổ phần Quản lý Quỹ Kỹ thương (Techcom Capital) kính trình </w:t>
      </w:r>
      <w:r>
        <w:t xml:space="preserve">Đại hội đồng cổ đông </w:t>
      </w:r>
      <w:r w:rsidR="00A36500">
        <w:t>xem xét thông qua</w:t>
      </w:r>
      <w:r>
        <w:t>:</w:t>
      </w:r>
    </w:p>
    <w:p w:rsidR="00E33D0F" w:rsidRDefault="00646A84" w:rsidP="00F21071">
      <w:pPr>
        <w:pStyle w:val="ListParagraph"/>
        <w:numPr>
          <w:ilvl w:val="0"/>
          <w:numId w:val="1"/>
        </w:numPr>
        <w:tabs>
          <w:tab w:val="left" w:pos="357"/>
        </w:tabs>
        <w:spacing w:before="80" w:after="80"/>
        <w:ind w:hanging="540"/>
      </w:pPr>
      <w:r>
        <w:t>Báo cáo Tài chính và Báo cáo Tỷ lệ An toàn Tài chính năm 2018 được kiểm toán bởi Công ty Ernst &amp; Young Việt Nam, được công bố  trên website của Công ty và đính kèm Tờ trình này.</w:t>
      </w:r>
    </w:p>
    <w:p w:rsidR="00646A84" w:rsidRDefault="00646A84" w:rsidP="00F21071">
      <w:pPr>
        <w:pStyle w:val="ListParagraph"/>
        <w:numPr>
          <w:ilvl w:val="0"/>
          <w:numId w:val="1"/>
        </w:numPr>
        <w:tabs>
          <w:tab w:val="left" w:pos="357"/>
        </w:tabs>
        <w:spacing w:before="80" w:after="80"/>
        <w:ind w:hanging="540"/>
      </w:pPr>
      <w:r>
        <w:t>Phương án phân phối lợi nhuận năm 2018:</w:t>
      </w:r>
    </w:p>
    <w:tbl>
      <w:tblPr>
        <w:tblpPr w:leftFromText="180" w:rightFromText="180" w:vertAnchor="text" w:horzAnchor="margin" w:tblpXSpec="center" w:tblpY="91"/>
        <w:tblOverlap w:val="never"/>
        <w:tblW w:w="7216" w:type="dxa"/>
        <w:tblLook w:val="04A0" w:firstRow="1" w:lastRow="0" w:firstColumn="1" w:lastColumn="0" w:noHBand="0" w:noVBand="1"/>
      </w:tblPr>
      <w:tblGrid>
        <w:gridCol w:w="595"/>
        <w:gridCol w:w="5155"/>
        <w:gridCol w:w="1466"/>
      </w:tblGrid>
      <w:tr w:rsidR="00417906" w:rsidRPr="00417906" w:rsidTr="00417906">
        <w:trPr>
          <w:trHeight w:val="570"/>
        </w:trPr>
        <w:tc>
          <w:tcPr>
            <w:tcW w:w="595" w:type="dxa"/>
            <w:tcBorders>
              <w:top w:val="single" w:sz="4" w:space="0" w:color="000000"/>
              <w:left w:val="single" w:sz="4" w:space="0" w:color="000000"/>
              <w:bottom w:val="single" w:sz="4" w:space="0" w:color="A0A0A0"/>
              <w:right w:val="single" w:sz="4" w:space="0" w:color="A0A0A0"/>
            </w:tcBorders>
            <w:shd w:val="clear" w:color="000000" w:fill="FFFFF0"/>
            <w:vAlign w:val="center"/>
            <w:hideMark/>
          </w:tcPr>
          <w:p w:rsidR="00417906" w:rsidRPr="00417906" w:rsidRDefault="00417906" w:rsidP="00417906">
            <w:pPr>
              <w:jc w:val="center"/>
              <w:rPr>
                <w:b/>
                <w:bCs/>
                <w:color w:val="000000"/>
                <w:sz w:val="20"/>
                <w:szCs w:val="20"/>
              </w:rPr>
            </w:pPr>
            <w:r w:rsidRPr="00417906">
              <w:rPr>
                <w:b/>
                <w:bCs/>
                <w:color w:val="000000"/>
                <w:sz w:val="20"/>
                <w:szCs w:val="20"/>
              </w:rPr>
              <w:t>STT</w:t>
            </w:r>
          </w:p>
        </w:tc>
        <w:tc>
          <w:tcPr>
            <w:tcW w:w="5155" w:type="dxa"/>
            <w:tcBorders>
              <w:top w:val="single" w:sz="4" w:space="0" w:color="000000"/>
              <w:left w:val="single" w:sz="4" w:space="0" w:color="000000"/>
              <w:bottom w:val="single" w:sz="4" w:space="0" w:color="A0A0A0"/>
              <w:right w:val="single" w:sz="4" w:space="0" w:color="A0A0A0"/>
            </w:tcBorders>
            <w:shd w:val="clear" w:color="000000" w:fill="FFFFF0"/>
            <w:vAlign w:val="center"/>
            <w:hideMark/>
          </w:tcPr>
          <w:p w:rsidR="00417906" w:rsidRPr="00417906" w:rsidRDefault="00417906" w:rsidP="00417906">
            <w:pPr>
              <w:jc w:val="center"/>
              <w:rPr>
                <w:b/>
                <w:bCs/>
                <w:color w:val="000000"/>
                <w:sz w:val="20"/>
                <w:szCs w:val="20"/>
              </w:rPr>
            </w:pPr>
            <w:r w:rsidRPr="00417906">
              <w:rPr>
                <w:b/>
                <w:bCs/>
                <w:color w:val="000000"/>
                <w:sz w:val="20"/>
                <w:szCs w:val="20"/>
              </w:rPr>
              <w:t>NỘI DUNG</w:t>
            </w:r>
          </w:p>
        </w:tc>
        <w:tc>
          <w:tcPr>
            <w:tcW w:w="1466" w:type="dxa"/>
            <w:tcBorders>
              <w:top w:val="single" w:sz="4" w:space="0" w:color="000000"/>
              <w:left w:val="nil"/>
              <w:bottom w:val="single" w:sz="4" w:space="0" w:color="A0A0A0"/>
              <w:right w:val="single" w:sz="4" w:space="0" w:color="000000"/>
            </w:tcBorders>
            <w:shd w:val="clear" w:color="000000" w:fill="FFFFF0"/>
            <w:vAlign w:val="center"/>
            <w:hideMark/>
          </w:tcPr>
          <w:p w:rsidR="00417906" w:rsidRPr="00417906" w:rsidRDefault="00417906" w:rsidP="00417906">
            <w:pPr>
              <w:jc w:val="center"/>
              <w:rPr>
                <w:b/>
                <w:bCs/>
                <w:color w:val="000000"/>
                <w:sz w:val="20"/>
                <w:szCs w:val="20"/>
              </w:rPr>
            </w:pPr>
            <w:r w:rsidRPr="00417906">
              <w:rPr>
                <w:b/>
                <w:bCs/>
                <w:color w:val="000000"/>
                <w:sz w:val="20"/>
                <w:szCs w:val="20"/>
              </w:rPr>
              <w:t>SỐ TIỀN (VNĐ)</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1</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Tổng lợi nhuận kế toán trước thuế năm 2018</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50,206,552,269</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2</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Thuế thu nhập doanh nghiệp năm 2018 (thuế suất 20%)</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10,041,310,453</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3</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Lợi nhuận sau thuế thu nhập doanh nghiệp (LNST)</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40,165,241,816</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4</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Trích lập các quỹ theo quy định</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3,994,322,000</w:t>
            </w:r>
          </w:p>
        </w:tc>
      </w:tr>
      <w:tr w:rsidR="00417906" w:rsidRPr="00417906" w:rsidTr="00417906">
        <w:trPr>
          <w:trHeight w:val="570"/>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 xml:space="preserve"> -</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color w:val="000000"/>
                <w:sz w:val="20"/>
                <w:szCs w:val="20"/>
              </w:rPr>
            </w:pPr>
            <w:r w:rsidRPr="00417906">
              <w:rPr>
                <w:color w:val="000000"/>
                <w:sz w:val="20"/>
                <w:szCs w:val="20"/>
              </w:rPr>
              <w:t xml:space="preserve">Trích lập Quỹ dự trữ bổ sung Vốn điều lệ, bằng 5% LNST </w:t>
            </w:r>
            <w:r w:rsidRPr="00417906">
              <w:rPr>
                <w:color w:val="000000"/>
                <w:sz w:val="20"/>
                <w:szCs w:val="20"/>
              </w:rPr>
              <w:br/>
              <w:t>(Mức trích tối đa bằng 10% Vốn điều lệ)</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color w:val="000000"/>
                <w:sz w:val="20"/>
                <w:szCs w:val="20"/>
              </w:rPr>
            </w:pPr>
            <w:r w:rsidRPr="00417906">
              <w:rPr>
                <w:color w:val="000000"/>
                <w:sz w:val="20"/>
                <w:szCs w:val="20"/>
              </w:rPr>
              <w:t>1,997,161,000</w:t>
            </w:r>
          </w:p>
        </w:tc>
      </w:tr>
      <w:tr w:rsidR="00417906" w:rsidRPr="00417906" w:rsidTr="00417906">
        <w:trPr>
          <w:trHeight w:val="630"/>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940BF8" w:rsidP="00417906">
            <w:pPr>
              <w:jc w:val="center"/>
              <w:rPr>
                <w:b/>
                <w:bCs/>
                <w:color w:val="000000"/>
                <w:sz w:val="20"/>
                <w:szCs w:val="20"/>
              </w:rPr>
            </w:pPr>
            <w:r>
              <w:rPr>
                <w:b/>
                <w:bCs/>
                <w:color w:val="000000"/>
                <w:sz w:val="20"/>
                <w:szCs w:val="20"/>
              </w:rPr>
              <w:t>-</w:t>
            </w:r>
            <w:r w:rsidR="00417906" w:rsidRPr="00417906">
              <w:rPr>
                <w:b/>
                <w:bCs/>
                <w:color w:val="000000"/>
                <w:sz w:val="20"/>
                <w:szCs w:val="20"/>
              </w:rPr>
              <w:t> </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color w:val="000000"/>
                <w:sz w:val="20"/>
                <w:szCs w:val="20"/>
              </w:rPr>
            </w:pPr>
            <w:r w:rsidRPr="00417906">
              <w:rPr>
                <w:color w:val="000000"/>
                <w:sz w:val="20"/>
                <w:szCs w:val="20"/>
              </w:rPr>
              <w:t>Trích lập Quỹ dự phòng Tài chính và rủi ro nghiệp vụ, bằng 5% LNST (Mức trích tối đa bằng 10% Vốn điều lệ)</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color w:val="000000"/>
                <w:sz w:val="20"/>
                <w:szCs w:val="20"/>
              </w:rPr>
            </w:pPr>
            <w:r w:rsidRPr="00417906">
              <w:rPr>
                <w:color w:val="000000"/>
                <w:sz w:val="20"/>
                <w:szCs w:val="20"/>
              </w:rPr>
              <w:t>1,997,161,000</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5</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 xml:space="preserve">Trích lập các quỹ khác </w:t>
            </w:r>
            <w:r w:rsidRPr="00417906">
              <w:rPr>
                <w:b/>
                <w:bCs/>
                <w:color w:val="000000"/>
                <w:sz w:val="20"/>
                <w:szCs w:val="20"/>
              </w:rPr>
              <w:sym w:font="Wingdings" w:char="F0E0"/>
            </w:r>
            <w:r>
              <w:rPr>
                <w:b/>
                <w:bCs/>
                <w:color w:val="000000"/>
                <w:sz w:val="20"/>
                <w:szCs w:val="20"/>
              </w:rPr>
              <w:t xml:space="preserve"> không thực hiện</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 </w:t>
            </w:r>
          </w:p>
        </w:tc>
      </w:tr>
      <w:tr w:rsidR="00417906" w:rsidRPr="00417906" w:rsidTr="00417906">
        <w:trPr>
          <w:trHeight w:val="315"/>
        </w:trPr>
        <w:tc>
          <w:tcPr>
            <w:tcW w:w="59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6</w:t>
            </w:r>
          </w:p>
        </w:tc>
        <w:tc>
          <w:tcPr>
            <w:tcW w:w="5155" w:type="dxa"/>
            <w:tcBorders>
              <w:top w:val="nil"/>
              <w:left w:val="single" w:sz="4" w:space="0" w:color="000000"/>
              <w:bottom w:val="single" w:sz="4" w:space="0" w:color="E3E3E3"/>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Chia cổ tức năm 2018</w:t>
            </w:r>
            <w:r>
              <w:rPr>
                <w:b/>
                <w:bCs/>
                <w:color w:val="000000"/>
                <w:sz w:val="20"/>
                <w:szCs w:val="20"/>
              </w:rPr>
              <w:t xml:space="preserve"> </w:t>
            </w:r>
            <w:r w:rsidRPr="00417906">
              <w:rPr>
                <w:b/>
                <w:bCs/>
                <w:color w:val="000000"/>
                <w:sz w:val="20"/>
                <w:szCs w:val="20"/>
              </w:rPr>
              <w:sym w:font="Wingdings" w:char="F0E0"/>
            </w:r>
            <w:r>
              <w:rPr>
                <w:b/>
                <w:bCs/>
                <w:color w:val="000000"/>
                <w:sz w:val="20"/>
                <w:szCs w:val="20"/>
              </w:rPr>
              <w:t xml:space="preserve"> không thực hiện</w:t>
            </w:r>
          </w:p>
        </w:tc>
        <w:tc>
          <w:tcPr>
            <w:tcW w:w="1466" w:type="dxa"/>
            <w:tcBorders>
              <w:top w:val="nil"/>
              <w:left w:val="nil"/>
              <w:bottom w:val="single" w:sz="4" w:space="0" w:color="E3E3E3"/>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 </w:t>
            </w:r>
          </w:p>
        </w:tc>
      </w:tr>
      <w:tr w:rsidR="00417906" w:rsidRPr="00417906" w:rsidTr="00417906">
        <w:trPr>
          <w:trHeight w:val="510"/>
        </w:trPr>
        <w:tc>
          <w:tcPr>
            <w:tcW w:w="595" w:type="dxa"/>
            <w:tcBorders>
              <w:top w:val="nil"/>
              <w:left w:val="single" w:sz="4" w:space="0" w:color="000000"/>
              <w:bottom w:val="single" w:sz="4" w:space="0" w:color="000000"/>
              <w:right w:val="single" w:sz="4" w:space="0" w:color="E3E3E3"/>
            </w:tcBorders>
            <w:shd w:val="clear" w:color="000000" w:fill="FFFFFF"/>
            <w:vAlign w:val="center"/>
            <w:hideMark/>
          </w:tcPr>
          <w:p w:rsidR="00417906" w:rsidRPr="00417906" w:rsidRDefault="00417906" w:rsidP="00417906">
            <w:pPr>
              <w:jc w:val="center"/>
              <w:rPr>
                <w:b/>
                <w:bCs/>
                <w:color w:val="000000"/>
                <w:sz w:val="20"/>
                <w:szCs w:val="20"/>
              </w:rPr>
            </w:pPr>
            <w:r w:rsidRPr="00417906">
              <w:rPr>
                <w:b/>
                <w:bCs/>
                <w:color w:val="000000"/>
                <w:sz w:val="20"/>
                <w:szCs w:val="20"/>
              </w:rPr>
              <w:t>7</w:t>
            </w:r>
          </w:p>
        </w:tc>
        <w:tc>
          <w:tcPr>
            <w:tcW w:w="5155" w:type="dxa"/>
            <w:tcBorders>
              <w:top w:val="nil"/>
              <w:left w:val="single" w:sz="4" w:space="0" w:color="000000"/>
              <w:bottom w:val="single" w:sz="4" w:space="0" w:color="000000"/>
              <w:right w:val="single" w:sz="4" w:space="0" w:color="E3E3E3"/>
            </w:tcBorders>
            <w:shd w:val="clear" w:color="000000" w:fill="FFFFFF"/>
            <w:vAlign w:val="center"/>
            <w:hideMark/>
          </w:tcPr>
          <w:p w:rsidR="00417906" w:rsidRPr="00417906" w:rsidRDefault="00417906" w:rsidP="00417906">
            <w:pPr>
              <w:rPr>
                <w:b/>
                <w:bCs/>
                <w:color w:val="000000"/>
                <w:sz w:val="20"/>
                <w:szCs w:val="20"/>
              </w:rPr>
            </w:pPr>
            <w:r w:rsidRPr="00417906">
              <w:rPr>
                <w:b/>
                <w:bCs/>
                <w:color w:val="000000"/>
                <w:sz w:val="20"/>
                <w:szCs w:val="20"/>
              </w:rPr>
              <w:t>Lợi nhuận sau thuế còn lại</w:t>
            </w:r>
          </w:p>
        </w:tc>
        <w:tc>
          <w:tcPr>
            <w:tcW w:w="1466" w:type="dxa"/>
            <w:tcBorders>
              <w:top w:val="nil"/>
              <w:left w:val="nil"/>
              <w:bottom w:val="single" w:sz="4" w:space="0" w:color="000000"/>
              <w:right w:val="single" w:sz="4" w:space="0" w:color="000000"/>
            </w:tcBorders>
            <w:shd w:val="clear" w:color="000000" w:fill="FFFFFF"/>
            <w:noWrap/>
            <w:vAlign w:val="center"/>
            <w:hideMark/>
          </w:tcPr>
          <w:p w:rsidR="00417906" w:rsidRPr="00417906" w:rsidRDefault="00417906" w:rsidP="00417906">
            <w:pPr>
              <w:jc w:val="right"/>
              <w:rPr>
                <w:b/>
                <w:bCs/>
                <w:color w:val="000000"/>
                <w:sz w:val="20"/>
                <w:szCs w:val="20"/>
              </w:rPr>
            </w:pPr>
            <w:r w:rsidRPr="00417906">
              <w:rPr>
                <w:b/>
                <w:bCs/>
                <w:color w:val="000000"/>
                <w:sz w:val="20"/>
                <w:szCs w:val="20"/>
              </w:rPr>
              <w:t>36,170,919,816</w:t>
            </w:r>
          </w:p>
        </w:tc>
      </w:tr>
    </w:tbl>
    <w:p w:rsidR="00646A84" w:rsidRDefault="00417906" w:rsidP="00417906">
      <w:pPr>
        <w:tabs>
          <w:tab w:val="left" w:pos="357"/>
        </w:tabs>
        <w:spacing w:before="80" w:after="80"/>
        <w:ind w:left="360"/>
      </w:pPr>
      <w:r>
        <w:br w:type="textWrapping" w:clear="all"/>
      </w:r>
    </w:p>
    <w:p w:rsidR="00DA4D5F" w:rsidRDefault="00DA4D5F" w:rsidP="00DA4D5F">
      <w:pPr>
        <w:tabs>
          <w:tab w:val="left" w:pos="630"/>
        </w:tabs>
        <w:spacing w:before="80" w:after="80"/>
        <w:ind w:left="540"/>
      </w:pPr>
      <w:r>
        <w:t>Đại hội đồng cổ đông ủy quyền và giao nhiệm vụ cho Hội đồng Quản trị tổ chức thực hiện nội dung trên, đảm bảo phù hợp với quy định của Pháp luật hiện hành.</w:t>
      </w:r>
    </w:p>
    <w:p w:rsidR="00946134" w:rsidRDefault="00CE3E74" w:rsidP="00DA4D5F">
      <w:pPr>
        <w:tabs>
          <w:tab w:val="left" w:pos="357"/>
        </w:tabs>
        <w:spacing w:before="80" w:after="80"/>
        <w:ind w:firstLine="540"/>
        <w:jc w:val="both"/>
      </w:pPr>
      <w:r>
        <w:t>Trân trọng</w:t>
      </w:r>
      <w:r w:rsidR="00417906">
        <w:t xml:space="preserve"> kính trình Đại hội xem xét, phê duyệt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CE3E74" w:rsidTr="00CE3E74">
        <w:tc>
          <w:tcPr>
            <w:tcW w:w="4945" w:type="dxa"/>
          </w:tcPr>
          <w:p w:rsidR="00CE3E74" w:rsidRDefault="00CE3E74" w:rsidP="005A6D70"/>
        </w:tc>
        <w:tc>
          <w:tcPr>
            <w:tcW w:w="4945" w:type="dxa"/>
          </w:tcPr>
          <w:p w:rsidR="00CE3E74" w:rsidRPr="00CE3E74" w:rsidRDefault="00CE3E74" w:rsidP="00CE3E74">
            <w:pPr>
              <w:jc w:val="center"/>
              <w:rPr>
                <w:b/>
              </w:rPr>
            </w:pPr>
            <w:r w:rsidRPr="00CE3E74">
              <w:rPr>
                <w:b/>
              </w:rPr>
              <w:t>TM. HỘI ĐỒNG QUẢN TRỊ</w:t>
            </w:r>
          </w:p>
          <w:p w:rsidR="00CE3E74" w:rsidRPr="00CE3E74" w:rsidRDefault="00CE3E74" w:rsidP="00CE3E74">
            <w:pPr>
              <w:jc w:val="center"/>
              <w:rPr>
                <w:b/>
              </w:rPr>
            </w:pPr>
            <w:r w:rsidRPr="00CE3E74">
              <w:rPr>
                <w:b/>
              </w:rPr>
              <w:t>CHỦ TỊCH</w:t>
            </w:r>
          </w:p>
          <w:p w:rsidR="00CE3E74" w:rsidRPr="00CE3E74" w:rsidRDefault="00CE3E74" w:rsidP="00CE3E74">
            <w:pPr>
              <w:jc w:val="center"/>
              <w:rPr>
                <w:b/>
              </w:rPr>
            </w:pPr>
          </w:p>
          <w:p w:rsidR="00555856" w:rsidRDefault="00555856" w:rsidP="00417906">
            <w:pPr>
              <w:jc w:val="center"/>
              <w:rPr>
                <w:b/>
              </w:rPr>
            </w:pPr>
          </w:p>
          <w:p w:rsidR="008E7756" w:rsidRDefault="008E7756" w:rsidP="00417906">
            <w:pPr>
              <w:jc w:val="center"/>
              <w:rPr>
                <w:b/>
              </w:rPr>
            </w:pPr>
            <w:bookmarkStart w:id="0" w:name="_GoBack"/>
            <w:bookmarkEnd w:id="0"/>
          </w:p>
          <w:p w:rsidR="00CE3E74" w:rsidRDefault="00CE3E74" w:rsidP="00417906">
            <w:pPr>
              <w:jc w:val="center"/>
            </w:pPr>
            <w:r w:rsidRPr="00CE3E74">
              <w:rPr>
                <w:b/>
              </w:rPr>
              <w:t xml:space="preserve">NGUYỄN </w:t>
            </w:r>
            <w:r w:rsidR="00417906">
              <w:rPr>
                <w:b/>
              </w:rPr>
              <w:t>THỊ THU HIỀN</w:t>
            </w:r>
          </w:p>
        </w:tc>
      </w:tr>
      <w:tr w:rsidR="00417906" w:rsidTr="00CE3E74">
        <w:tc>
          <w:tcPr>
            <w:tcW w:w="4945" w:type="dxa"/>
          </w:tcPr>
          <w:p w:rsidR="00417906" w:rsidRDefault="00417906" w:rsidP="005A6D70"/>
        </w:tc>
        <w:tc>
          <w:tcPr>
            <w:tcW w:w="4945" w:type="dxa"/>
          </w:tcPr>
          <w:p w:rsidR="00417906" w:rsidRPr="00CE3E74" w:rsidRDefault="00417906" w:rsidP="00CE3E74">
            <w:pPr>
              <w:jc w:val="center"/>
              <w:rPr>
                <w:b/>
              </w:rPr>
            </w:pPr>
          </w:p>
        </w:tc>
      </w:tr>
    </w:tbl>
    <w:p w:rsidR="00425AC5" w:rsidRDefault="00425AC5" w:rsidP="005A6D70"/>
    <w:p w:rsidR="005E7303" w:rsidRDefault="005E7303"/>
    <w:sectPr w:rsidR="005E7303" w:rsidSect="008E7756">
      <w:footerReference w:type="default" r:id="rId9"/>
      <w:pgSz w:w="12240" w:h="15840"/>
      <w:pgMar w:top="990" w:right="1080" w:bottom="270" w:left="1260" w:header="720" w:footer="3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071" w:rsidRDefault="00F21071" w:rsidP="004D6298">
      <w:r>
        <w:separator/>
      </w:r>
    </w:p>
  </w:endnote>
  <w:endnote w:type="continuationSeparator" w:id="0">
    <w:p w:rsidR="00F21071" w:rsidRDefault="00F21071" w:rsidP="004D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45006"/>
      <w:docPartObj>
        <w:docPartGallery w:val="Page Numbers (Bottom of Page)"/>
        <w:docPartUnique/>
      </w:docPartObj>
    </w:sdtPr>
    <w:sdtEndPr>
      <w:rPr>
        <w:noProof/>
      </w:rPr>
    </w:sdtEndPr>
    <w:sdtContent>
      <w:p w:rsidR="004D6298" w:rsidRDefault="004D6298">
        <w:pPr>
          <w:pStyle w:val="Footer"/>
          <w:jc w:val="center"/>
        </w:pPr>
        <w:r>
          <w:fldChar w:fldCharType="begin"/>
        </w:r>
        <w:r>
          <w:instrText xml:space="preserve"> PAGE   \* MERGEFORMAT </w:instrText>
        </w:r>
        <w:r>
          <w:fldChar w:fldCharType="separate"/>
        </w:r>
        <w:r w:rsidR="008E7756">
          <w:rPr>
            <w:noProof/>
          </w:rPr>
          <w:t>2</w:t>
        </w:r>
        <w:r>
          <w:rPr>
            <w:noProof/>
          </w:rPr>
          <w:fldChar w:fldCharType="end"/>
        </w:r>
      </w:p>
    </w:sdtContent>
  </w:sdt>
  <w:p w:rsidR="004D6298" w:rsidRDefault="004D62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071" w:rsidRDefault="00F21071" w:rsidP="004D6298">
      <w:r>
        <w:separator/>
      </w:r>
    </w:p>
  </w:footnote>
  <w:footnote w:type="continuationSeparator" w:id="0">
    <w:p w:rsidR="00F21071" w:rsidRDefault="00F21071" w:rsidP="004D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461D5"/>
    <w:multiLevelType w:val="hybridMultilevel"/>
    <w:tmpl w:val="69741736"/>
    <w:lvl w:ilvl="0" w:tplc="8F0A1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FD"/>
    <w:rsid w:val="00002078"/>
    <w:rsid w:val="00011477"/>
    <w:rsid w:val="00011C3F"/>
    <w:rsid w:val="00024651"/>
    <w:rsid w:val="00054DFD"/>
    <w:rsid w:val="00082FAF"/>
    <w:rsid w:val="000830BA"/>
    <w:rsid w:val="000A17A3"/>
    <w:rsid w:val="000C2326"/>
    <w:rsid w:val="000C6444"/>
    <w:rsid w:val="000E7E84"/>
    <w:rsid w:val="00105990"/>
    <w:rsid w:val="001351AF"/>
    <w:rsid w:val="0017660F"/>
    <w:rsid w:val="001A4A7A"/>
    <w:rsid w:val="001A5A40"/>
    <w:rsid w:val="001A7AC8"/>
    <w:rsid w:val="001D1607"/>
    <w:rsid w:val="001E0AE0"/>
    <w:rsid w:val="001E31A4"/>
    <w:rsid w:val="001F1ECB"/>
    <w:rsid w:val="0022470D"/>
    <w:rsid w:val="00226443"/>
    <w:rsid w:val="00240A25"/>
    <w:rsid w:val="002941D9"/>
    <w:rsid w:val="002A2434"/>
    <w:rsid w:val="002B6323"/>
    <w:rsid w:val="002D039E"/>
    <w:rsid w:val="002F0B40"/>
    <w:rsid w:val="0030397A"/>
    <w:rsid w:val="00315E83"/>
    <w:rsid w:val="0031642B"/>
    <w:rsid w:val="00323BD3"/>
    <w:rsid w:val="003261FD"/>
    <w:rsid w:val="00357AA0"/>
    <w:rsid w:val="00370BDF"/>
    <w:rsid w:val="0038601E"/>
    <w:rsid w:val="0039265B"/>
    <w:rsid w:val="003D42E9"/>
    <w:rsid w:val="00400E72"/>
    <w:rsid w:val="00411E14"/>
    <w:rsid w:val="00412D8E"/>
    <w:rsid w:val="00417456"/>
    <w:rsid w:val="00417906"/>
    <w:rsid w:val="00425AC5"/>
    <w:rsid w:val="00466C3B"/>
    <w:rsid w:val="004B1AAC"/>
    <w:rsid w:val="004B2B43"/>
    <w:rsid w:val="004D6298"/>
    <w:rsid w:val="004E6BCF"/>
    <w:rsid w:val="00513E04"/>
    <w:rsid w:val="005367AB"/>
    <w:rsid w:val="00541708"/>
    <w:rsid w:val="00555856"/>
    <w:rsid w:val="00573478"/>
    <w:rsid w:val="0057384F"/>
    <w:rsid w:val="005877D8"/>
    <w:rsid w:val="005A03E9"/>
    <w:rsid w:val="005A6D70"/>
    <w:rsid w:val="005D3853"/>
    <w:rsid w:val="005E7303"/>
    <w:rsid w:val="00603D00"/>
    <w:rsid w:val="0061515D"/>
    <w:rsid w:val="00620730"/>
    <w:rsid w:val="0064393D"/>
    <w:rsid w:val="00646A84"/>
    <w:rsid w:val="00657FBC"/>
    <w:rsid w:val="00660ED6"/>
    <w:rsid w:val="00662E9F"/>
    <w:rsid w:val="00663207"/>
    <w:rsid w:val="00675594"/>
    <w:rsid w:val="006829D1"/>
    <w:rsid w:val="006A7A51"/>
    <w:rsid w:val="006B4397"/>
    <w:rsid w:val="006D0ECB"/>
    <w:rsid w:val="00715E4B"/>
    <w:rsid w:val="0075090B"/>
    <w:rsid w:val="00766BCE"/>
    <w:rsid w:val="00773BB2"/>
    <w:rsid w:val="0079519F"/>
    <w:rsid w:val="007971CB"/>
    <w:rsid w:val="007A20FD"/>
    <w:rsid w:val="007D747C"/>
    <w:rsid w:val="007E5340"/>
    <w:rsid w:val="008146E5"/>
    <w:rsid w:val="00816549"/>
    <w:rsid w:val="008665FB"/>
    <w:rsid w:val="00873ED2"/>
    <w:rsid w:val="00890D3B"/>
    <w:rsid w:val="00892766"/>
    <w:rsid w:val="008B3D09"/>
    <w:rsid w:val="008B7BF6"/>
    <w:rsid w:val="008E7756"/>
    <w:rsid w:val="008F7643"/>
    <w:rsid w:val="009175F1"/>
    <w:rsid w:val="00917FF1"/>
    <w:rsid w:val="009239D5"/>
    <w:rsid w:val="00926F64"/>
    <w:rsid w:val="0093352B"/>
    <w:rsid w:val="00936661"/>
    <w:rsid w:val="00937650"/>
    <w:rsid w:val="00940BF8"/>
    <w:rsid w:val="00946134"/>
    <w:rsid w:val="009478B0"/>
    <w:rsid w:val="00950EB6"/>
    <w:rsid w:val="0095514B"/>
    <w:rsid w:val="0097003E"/>
    <w:rsid w:val="009756C5"/>
    <w:rsid w:val="009B2569"/>
    <w:rsid w:val="00A007EB"/>
    <w:rsid w:val="00A10C78"/>
    <w:rsid w:val="00A36500"/>
    <w:rsid w:val="00A42BFD"/>
    <w:rsid w:val="00A74E4F"/>
    <w:rsid w:val="00A83CD2"/>
    <w:rsid w:val="00A85FB3"/>
    <w:rsid w:val="00AB753F"/>
    <w:rsid w:val="00AD0F76"/>
    <w:rsid w:val="00AF3E43"/>
    <w:rsid w:val="00AF3EDD"/>
    <w:rsid w:val="00B019AC"/>
    <w:rsid w:val="00B4656B"/>
    <w:rsid w:val="00B52C6E"/>
    <w:rsid w:val="00B54875"/>
    <w:rsid w:val="00B552CB"/>
    <w:rsid w:val="00B64C38"/>
    <w:rsid w:val="00B84A7A"/>
    <w:rsid w:val="00B96C0B"/>
    <w:rsid w:val="00BF1185"/>
    <w:rsid w:val="00C06849"/>
    <w:rsid w:val="00C2387A"/>
    <w:rsid w:val="00C35171"/>
    <w:rsid w:val="00C44292"/>
    <w:rsid w:val="00C6364C"/>
    <w:rsid w:val="00CA6E61"/>
    <w:rsid w:val="00CD7BF2"/>
    <w:rsid w:val="00CE1256"/>
    <w:rsid w:val="00CE3E74"/>
    <w:rsid w:val="00CF54C8"/>
    <w:rsid w:val="00D36BA3"/>
    <w:rsid w:val="00D57E6C"/>
    <w:rsid w:val="00D75931"/>
    <w:rsid w:val="00D7629C"/>
    <w:rsid w:val="00D82C13"/>
    <w:rsid w:val="00D83547"/>
    <w:rsid w:val="00DA4D5F"/>
    <w:rsid w:val="00DB59A6"/>
    <w:rsid w:val="00DD4AE5"/>
    <w:rsid w:val="00E15247"/>
    <w:rsid w:val="00E2351E"/>
    <w:rsid w:val="00E33D0F"/>
    <w:rsid w:val="00E615C0"/>
    <w:rsid w:val="00E70E39"/>
    <w:rsid w:val="00E90810"/>
    <w:rsid w:val="00EB62A1"/>
    <w:rsid w:val="00ED357A"/>
    <w:rsid w:val="00F078C6"/>
    <w:rsid w:val="00F21071"/>
    <w:rsid w:val="00F402A3"/>
    <w:rsid w:val="00F75E88"/>
    <w:rsid w:val="00F8105D"/>
    <w:rsid w:val="00F92BEA"/>
    <w:rsid w:val="00FB063A"/>
    <w:rsid w:val="00FB1E4F"/>
    <w:rsid w:val="00FC115B"/>
    <w:rsid w:val="00FC7A48"/>
    <w:rsid w:val="00FE08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3C2A67-AF5C-40D7-8627-4371A1461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0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20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20FD"/>
    <w:pPr>
      <w:ind w:left="720"/>
    </w:pPr>
  </w:style>
  <w:style w:type="paragraph" w:styleId="BalloonText">
    <w:name w:val="Balloon Text"/>
    <w:basedOn w:val="Normal"/>
    <w:link w:val="BalloonTextChar"/>
    <w:uiPriority w:val="99"/>
    <w:semiHidden/>
    <w:unhideWhenUsed/>
    <w:rsid w:val="00513E04"/>
    <w:rPr>
      <w:rFonts w:ascii="Tahoma" w:hAnsi="Tahoma" w:cs="Tahoma"/>
      <w:sz w:val="16"/>
      <w:szCs w:val="16"/>
    </w:rPr>
  </w:style>
  <w:style w:type="character" w:customStyle="1" w:styleId="BalloonTextChar">
    <w:name w:val="Balloon Text Char"/>
    <w:basedOn w:val="DefaultParagraphFont"/>
    <w:link w:val="BalloonText"/>
    <w:uiPriority w:val="99"/>
    <w:semiHidden/>
    <w:rsid w:val="00513E04"/>
    <w:rPr>
      <w:rFonts w:ascii="Tahoma" w:eastAsia="Times New Roman" w:hAnsi="Tahoma" w:cs="Tahoma"/>
      <w:sz w:val="16"/>
      <w:szCs w:val="16"/>
    </w:rPr>
  </w:style>
  <w:style w:type="paragraph" w:styleId="Header">
    <w:name w:val="header"/>
    <w:basedOn w:val="Normal"/>
    <w:link w:val="HeaderChar"/>
    <w:uiPriority w:val="99"/>
    <w:unhideWhenUsed/>
    <w:rsid w:val="004D6298"/>
    <w:pPr>
      <w:tabs>
        <w:tab w:val="center" w:pos="4680"/>
        <w:tab w:val="right" w:pos="9360"/>
      </w:tabs>
    </w:pPr>
  </w:style>
  <w:style w:type="character" w:customStyle="1" w:styleId="HeaderChar">
    <w:name w:val="Header Char"/>
    <w:basedOn w:val="DefaultParagraphFont"/>
    <w:link w:val="Header"/>
    <w:uiPriority w:val="99"/>
    <w:rsid w:val="004D62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6298"/>
    <w:pPr>
      <w:tabs>
        <w:tab w:val="center" w:pos="4680"/>
        <w:tab w:val="right" w:pos="9360"/>
      </w:tabs>
    </w:pPr>
  </w:style>
  <w:style w:type="character" w:customStyle="1" w:styleId="FooterChar">
    <w:name w:val="Footer Char"/>
    <w:basedOn w:val="DefaultParagraphFont"/>
    <w:link w:val="Footer"/>
    <w:uiPriority w:val="99"/>
    <w:rsid w:val="004D62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949922">
      <w:bodyDiv w:val="1"/>
      <w:marLeft w:val="0"/>
      <w:marRight w:val="0"/>
      <w:marTop w:val="0"/>
      <w:marBottom w:val="0"/>
      <w:divBdr>
        <w:top w:val="none" w:sz="0" w:space="0" w:color="auto"/>
        <w:left w:val="none" w:sz="0" w:space="0" w:color="auto"/>
        <w:bottom w:val="none" w:sz="0" w:space="0" w:color="auto"/>
        <w:right w:val="none" w:sz="0" w:space="0" w:color="auto"/>
      </w:divBdr>
    </w:div>
    <w:div w:id="424887805">
      <w:bodyDiv w:val="1"/>
      <w:marLeft w:val="0"/>
      <w:marRight w:val="0"/>
      <w:marTop w:val="0"/>
      <w:marBottom w:val="0"/>
      <w:divBdr>
        <w:top w:val="none" w:sz="0" w:space="0" w:color="auto"/>
        <w:left w:val="none" w:sz="0" w:space="0" w:color="auto"/>
        <w:bottom w:val="none" w:sz="0" w:space="0" w:color="auto"/>
        <w:right w:val="none" w:sz="0" w:space="0" w:color="auto"/>
      </w:divBdr>
    </w:div>
    <w:div w:id="457379738">
      <w:bodyDiv w:val="1"/>
      <w:marLeft w:val="0"/>
      <w:marRight w:val="0"/>
      <w:marTop w:val="0"/>
      <w:marBottom w:val="0"/>
      <w:divBdr>
        <w:top w:val="none" w:sz="0" w:space="0" w:color="auto"/>
        <w:left w:val="none" w:sz="0" w:space="0" w:color="auto"/>
        <w:bottom w:val="none" w:sz="0" w:space="0" w:color="auto"/>
        <w:right w:val="none" w:sz="0" w:space="0" w:color="auto"/>
      </w:divBdr>
    </w:div>
    <w:div w:id="865364309">
      <w:bodyDiv w:val="1"/>
      <w:marLeft w:val="0"/>
      <w:marRight w:val="0"/>
      <w:marTop w:val="0"/>
      <w:marBottom w:val="0"/>
      <w:divBdr>
        <w:top w:val="none" w:sz="0" w:space="0" w:color="auto"/>
        <w:left w:val="none" w:sz="0" w:space="0" w:color="auto"/>
        <w:bottom w:val="none" w:sz="0" w:space="0" w:color="auto"/>
        <w:right w:val="none" w:sz="0" w:space="0" w:color="auto"/>
      </w:divBdr>
      <w:divsChild>
        <w:div w:id="1678729687">
          <w:marLeft w:val="547"/>
          <w:marRight w:val="0"/>
          <w:marTop w:val="0"/>
          <w:marBottom w:val="0"/>
          <w:divBdr>
            <w:top w:val="none" w:sz="0" w:space="0" w:color="auto"/>
            <w:left w:val="none" w:sz="0" w:space="0" w:color="auto"/>
            <w:bottom w:val="none" w:sz="0" w:space="0" w:color="auto"/>
            <w:right w:val="none" w:sz="0" w:space="0" w:color="auto"/>
          </w:divBdr>
        </w:div>
        <w:div w:id="2012445884">
          <w:marLeft w:val="1166"/>
          <w:marRight w:val="0"/>
          <w:marTop w:val="0"/>
          <w:marBottom w:val="0"/>
          <w:divBdr>
            <w:top w:val="none" w:sz="0" w:space="0" w:color="auto"/>
            <w:left w:val="none" w:sz="0" w:space="0" w:color="auto"/>
            <w:bottom w:val="none" w:sz="0" w:space="0" w:color="auto"/>
            <w:right w:val="none" w:sz="0" w:space="0" w:color="auto"/>
          </w:divBdr>
        </w:div>
        <w:div w:id="981927548">
          <w:marLeft w:val="1166"/>
          <w:marRight w:val="0"/>
          <w:marTop w:val="0"/>
          <w:marBottom w:val="0"/>
          <w:divBdr>
            <w:top w:val="none" w:sz="0" w:space="0" w:color="auto"/>
            <w:left w:val="none" w:sz="0" w:space="0" w:color="auto"/>
            <w:bottom w:val="none" w:sz="0" w:space="0" w:color="auto"/>
            <w:right w:val="none" w:sz="0" w:space="0" w:color="auto"/>
          </w:divBdr>
        </w:div>
        <w:div w:id="1964072971">
          <w:marLeft w:val="1166"/>
          <w:marRight w:val="0"/>
          <w:marTop w:val="0"/>
          <w:marBottom w:val="0"/>
          <w:divBdr>
            <w:top w:val="none" w:sz="0" w:space="0" w:color="auto"/>
            <w:left w:val="none" w:sz="0" w:space="0" w:color="auto"/>
            <w:bottom w:val="none" w:sz="0" w:space="0" w:color="auto"/>
            <w:right w:val="none" w:sz="0" w:space="0" w:color="auto"/>
          </w:divBdr>
        </w:div>
        <w:div w:id="163320190">
          <w:marLeft w:val="1166"/>
          <w:marRight w:val="0"/>
          <w:marTop w:val="0"/>
          <w:marBottom w:val="0"/>
          <w:divBdr>
            <w:top w:val="none" w:sz="0" w:space="0" w:color="auto"/>
            <w:left w:val="none" w:sz="0" w:space="0" w:color="auto"/>
            <w:bottom w:val="none" w:sz="0" w:space="0" w:color="auto"/>
            <w:right w:val="none" w:sz="0" w:space="0" w:color="auto"/>
          </w:divBdr>
        </w:div>
        <w:div w:id="118763762">
          <w:marLeft w:val="547"/>
          <w:marRight w:val="0"/>
          <w:marTop w:val="0"/>
          <w:marBottom w:val="0"/>
          <w:divBdr>
            <w:top w:val="none" w:sz="0" w:space="0" w:color="auto"/>
            <w:left w:val="none" w:sz="0" w:space="0" w:color="auto"/>
            <w:bottom w:val="none" w:sz="0" w:space="0" w:color="auto"/>
            <w:right w:val="none" w:sz="0" w:space="0" w:color="auto"/>
          </w:divBdr>
        </w:div>
        <w:div w:id="665547334">
          <w:marLeft w:val="1166"/>
          <w:marRight w:val="0"/>
          <w:marTop w:val="0"/>
          <w:marBottom w:val="0"/>
          <w:divBdr>
            <w:top w:val="none" w:sz="0" w:space="0" w:color="auto"/>
            <w:left w:val="none" w:sz="0" w:space="0" w:color="auto"/>
            <w:bottom w:val="none" w:sz="0" w:space="0" w:color="auto"/>
            <w:right w:val="none" w:sz="0" w:space="0" w:color="auto"/>
          </w:divBdr>
        </w:div>
        <w:div w:id="1812943891">
          <w:marLeft w:val="1166"/>
          <w:marRight w:val="0"/>
          <w:marTop w:val="0"/>
          <w:marBottom w:val="0"/>
          <w:divBdr>
            <w:top w:val="none" w:sz="0" w:space="0" w:color="auto"/>
            <w:left w:val="none" w:sz="0" w:space="0" w:color="auto"/>
            <w:bottom w:val="none" w:sz="0" w:space="0" w:color="auto"/>
            <w:right w:val="none" w:sz="0" w:space="0" w:color="auto"/>
          </w:divBdr>
        </w:div>
        <w:div w:id="236988151">
          <w:marLeft w:val="1166"/>
          <w:marRight w:val="0"/>
          <w:marTop w:val="0"/>
          <w:marBottom w:val="0"/>
          <w:divBdr>
            <w:top w:val="none" w:sz="0" w:space="0" w:color="auto"/>
            <w:left w:val="none" w:sz="0" w:space="0" w:color="auto"/>
            <w:bottom w:val="none" w:sz="0" w:space="0" w:color="auto"/>
            <w:right w:val="none" w:sz="0" w:space="0" w:color="auto"/>
          </w:divBdr>
        </w:div>
        <w:div w:id="681469057">
          <w:marLeft w:val="547"/>
          <w:marRight w:val="0"/>
          <w:marTop w:val="0"/>
          <w:marBottom w:val="0"/>
          <w:divBdr>
            <w:top w:val="none" w:sz="0" w:space="0" w:color="auto"/>
            <w:left w:val="none" w:sz="0" w:space="0" w:color="auto"/>
            <w:bottom w:val="none" w:sz="0" w:space="0" w:color="auto"/>
            <w:right w:val="none" w:sz="0" w:space="0" w:color="auto"/>
          </w:divBdr>
        </w:div>
        <w:div w:id="1192915576">
          <w:marLeft w:val="1166"/>
          <w:marRight w:val="0"/>
          <w:marTop w:val="0"/>
          <w:marBottom w:val="0"/>
          <w:divBdr>
            <w:top w:val="none" w:sz="0" w:space="0" w:color="auto"/>
            <w:left w:val="none" w:sz="0" w:space="0" w:color="auto"/>
            <w:bottom w:val="none" w:sz="0" w:space="0" w:color="auto"/>
            <w:right w:val="none" w:sz="0" w:space="0" w:color="auto"/>
          </w:divBdr>
        </w:div>
        <w:div w:id="462965051">
          <w:marLeft w:val="1166"/>
          <w:marRight w:val="0"/>
          <w:marTop w:val="0"/>
          <w:marBottom w:val="0"/>
          <w:divBdr>
            <w:top w:val="none" w:sz="0" w:space="0" w:color="auto"/>
            <w:left w:val="none" w:sz="0" w:space="0" w:color="auto"/>
            <w:bottom w:val="none" w:sz="0" w:space="0" w:color="auto"/>
            <w:right w:val="none" w:sz="0" w:space="0" w:color="auto"/>
          </w:divBdr>
        </w:div>
        <w:div w:id="2368841">
          <w:marLeft w:val="1166"/>
          <w:marRight w:val="0"/>
          <w:marTop w:val="0"/>
          <w:marBottom w:val="0"/>
          <w:divBdr>
            <w:top w:val="none" w:sz="0" w:space="0" w:color="auto"/>
            <w:left w:val="none" w:sz="0" w:space="0" w:color="auto"/>
            <w:bottom w:val="none" w:sz="0" w:space="0" w:color="auto"/>
            <w:right w:val="none" w:sz="0" w:space="0" w:color="auto"/>
          </w:divBdr>
        </w:div>
        <w:div w:id="665791482">
          <w:marLeft w:val="1166"/>
          <w:marRight w:val="0"/>
          <w:marTop w:val="0"/>
          <w:marBottom w:val="0"/>
          <w:divBdr>
            <w:top w:val="none" w:sz="0" w:space="0" w:color="auto"/>
            <w:left w:val="none" w:sz="0" w:space="0" w:color="auto"/>
            <w:bottom w:val="none" w:sz="0" w:space="0" w:color="auto"/>
            <w:right w:val="none" w:sz="0" w:space="0" w:color="auto"/>
          </w:divBdr>
        </w:div>
      </w:divsChild>
    </w:div>
    <w:div w:id="902065375">
      <w:bodyDiv w:val="1"/>
      <w:marLeft w:val="0"/>
      <w:marRight w:val="0"/>
      <w:marTop w:val="0"/>
      <w:marBottom w:val="0"/>
      <w:divBdr>
        <w:top w:val="none" w:sz="0" w:space="0" w:color="auto"/>
        <w:left w:val="none" w:sz="0" w:space="0" w:color="auto"/>
        <w:bottom w:val="none" w:sz="0" w:space="0" w:color="auto"/>
        <w:right w:val="none" w:sz="0" w:space="0" w:color="auto"/>
      </w:divBdr>
    </w:div>
    <w:div w:id="978725587">
      <w:bodyDiv w:val="1"/>
      <w:marLeft w:val="0"/>
      <w:marRight w:val="0"/>
      <w:marTop w:val="0"/>
      <w:marBottom w:val="0"/>
      <w:divBdr>
        <w:top w:val="none" w:sz="0" w:space="0" w:color="auto"/>
        <w:left w:val="none" w:sz="0" w:space="0" w:color="auto"/>
        <w:bottom w:val="none" w:sz="0" w:space="0" w:color="auto"/>
        <w:right w:val="none" w:sz="0" w:space="0" w:color="auto"/>
      </w:divBdr>
    </w:div>
    <w:div w:id="1206867563">
      <w:bodyDiv w:val="1"/>
      <w:marLeft w:val="0"/>
      <w:marRight w:val="0"/>
      <w:marTop w:val="0"/>
      <w:marBottom w:val="0"/>
      <w:divBdr>
        <w:top w:val="none" w:sz="0" w:space="0" w:color="auto"/>
        <w:left w:val="none" w:sz="0" w:space="0" w:color="auto"/>
        <w:bottom w:val="none" w:sz="0" w:space="0" w:color="auto"/>
        <w:right w:val="none" w:sz="0" w:space="0" w:color="auto"/>
      </w:divBdr>
    </w:div>
    <w:div w:id="1521358590">
      <w:bodyDiv w:val="1"/>
      <w:marLeft w:val="0"/>
      <w:marRight w:val="0"/>
      <w:marTop w:val="0"/>
      <w:marBottom w:val="0"/>
      <w:divBdr>
        <w:top w:val="none" w:sz="0" w:space="0" w:color="auto"/>
        <w:left w:val="none" w:sz="0" w:space="0" w:color="auto"/>
        <w:bottom w:val="none" w:sz="0" w:space="0" w:color="auto"/>
        <w:right w:val="none" w:sz="0" w:space="0" w:color="auto"/>
      </w:divBdr>
    </w:div>
    <w:div w:id="1655840910">
      <w:bodyDiv w:val="1"/>
      <w:marLeft w:val="0"/>
      <w:marRight w:val="0"/>
      <w:marTop w:val="0"/>
      <w:marBottom w:val="0"/>
      <w:divBdr>
        <w:top w:val="none" w:sz="0" w:space="0" w:color="auto"/>
        <w:left w:val="none" w:sz="0" w:space="0" w:color="auto"/>
        <w:bottom w:val="none" w:sz="0" w:space="0" w:color="auto"/>
        <w:right w:val="none" w:sz="0" w:space="0" w:color="auto"/>
      </w:divBdr>
      <w:divsChild>
        <w:div w:id="381558792">
          <w:marLeft w:val="446"/>
          <w:marRight w:val="0"/>
          <w:marTop w:val="0"/>
          <w:marBottom w:val="0"/>
          <w:divBdr>
            <w:top w:val="none" w:sz="0" w:space="0" w:color="auto"/>
            <w:left w:val="none" w:sz="0" w:space="0" w:color="auto"/>
            <w:bottom w:val="none" w:sz="0" w:space="0" w:color="auto"/>
            <w:right w:val="none" w:sz="0" w:space="0" w:color="auto"/>
          </w:divBdr>
        </w:div>
      </w:divsChild>
    </w:div>
    <w:div w:id="1897009910">
      <w:bodyDiv w:val="1"/>
      <w:marLeft w:val="0"/>
      <w:marRight w:val="0"/>
      <w:marTop w:val="0"/>
      <w:marBottom w:val="0"/>
      <w:divBdr>
        <w:top w:val="none" w:sz="0" w:space="0" w:color="auto"/>
        <w:left w:val="none" w:sz="0" w:space="0" w:color="auto"/>
        <w:bottom w:val="none" w:sz="0" w:space="0" w:color="auto"/>
        <w:right w:val="none" w:sz="0" w:space="0" w:color="auto"/>
      </w:divBdr>
      <w:divsChild>
        <w:div w:id="1513373723">
          <w:marLeft w:val="446"/>
          <w:marRight w:val="0"/>
          <w:marTop w:val="0"/>
          <w:marBottom w:val="0"/>
          <w:divBdr>
            <w:top w:val="none" w:sz="0" w:space="0" w:color="auto"/>
            <w:left w:val="none" w:sz="0" w:space="0" w:color="auto"/>
            <w:bottom w:val="none" w:sz="0" w:space="0" w:color="auto"/>
            <w:right w:val="none" w:sz="0" w:space="0" w:color="auto"/>
          </w:divBdr>
        </w:div>
      </w:divsChild>
    </w:div>
    <w:div w:id="1964458754">
      <w:bodyDiv w:val="1"/>
      <w:marLeft w:val="0"/>
      <w:marRight w:val="0"/>
      <w:marTop w:val="0"/>
      <w:marBottom w:val="0"/>
      <w:divBdr>
        <w:top w:val="none" w:sz="0" w:space="0" w:color="auto"/>
        <w:left w:val="none" w:sz="0" w:space="0" w:color="auto"/>
        <w:bottom w:val="none" w:sz="0" w:space="0" w:color="auto"/>
        <w:right w:val="none" w:sz="0" w:space="0" w:color="auto"/>
      </w:divBdr>
    </w:div>
    <w:div w:id="2004968528">
      <w:bodyDiv w:val="1"/>
      <w:marLeft w:val="0"/>
      <w:marRight w:val="0"/>
      <w:marTop w:val="0"/>
      <w:marBottom w:val="0"/>
      <w:divBdr>
        <w:top w:val="none" w:sz="0" w:space="0" w:color="auto"/>
        <w:left w:val="none" w:sz="0" w:space="0" w:color="auto"/>
        <w:bottom w:val="none" w:sz="0" w:space="0" w:color="auto"/>
        <w:right w:val="none" w:sz="0" w:space="0" w:color="auto"/>
      </w:divBdr>
    </w:div>
    <w:div w:id="2046641346">
      <w:bodyDiv w:val="1"/>
      <w:marLeft w:val="0"/>
      <w:marRight w:val="0"/>
      <w:marTop w:val="0"/>
      <w:marBottom w:val="0"/>
      <w:divBdr>
        <w:top w:val="none" w:sz="0" w:space="0" w:color="auto"/>
        <w:left w:val="none" w:sz="0" w:space="0" w:color="auto"/>
        <w:bottom w:val="none" w:sz="0" w:space="0" w:color="auto"/>
        <w:right w:val="none" w:sz="0" w:space="0" w:color="auto"/>
      </w:divBdr>
    </w:div>
    <w:div w:id="20980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D5B63-8F50-4996-942F-4D0A069B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Techcombank</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IB. Bui Thuy</dc:creator>
  <cp:keywords/>
  <dc:description/>
  <cp:lastModifiedBy>Hang IB. Phan Thi Thu</cp:lastModifiedBy>
  <cp:revision>17</cp:revision>
  <cp:lastPrinted>2019-03-27T10:44:00Z</cp:lastPrinted>
  <dcterms:created xsi:type="dcterms:W3CDTF">2019-04-10T02:00:00Z</dcterms:created>
  <dcterms:modified xsi:type="dcterms:W3CDTF">2019-04-10T03:10:00Z</dcterms:modified>
</cp:coreProperties>
</file>