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EE6" w:rsidRDefault="00721EE6"/>
    <w:tbl>
      <w:tblPr>
        <w:tblW w:w="5000" w:type="pct"/>
        <w:tblLook w:val="01E0" w:firstRow="1" w:lastRow="1" w:firstColumn="1" w:lastColumn="1" w:noHBand="0" w:noVBand="0"/>
      </w:tblPr>
      <w:tblGrid>
        <w:gridCol w:w="3544"/>
        <w:gridCol w:w="5246"/>
      </w:tblGrid>
      <w:tr w:rsidR="00DE2449" w:rsidRPr="00980EB0" w:rsidTr="006D46D0">
        <w:tc>
          <w:tcPr>
            <w:tcW w:w="2016" w:type="pct"/>
          </w:tcPr>
          <w:p w:rsidR="00721EE6" w:rsidRDefault="00721EE6" w:rsidP="006D46D0">
            <w:pPr>
              <w:ind w:left="-108"/>
              <w:jc w:val="center"/>
              <w:rPr>
                <w:b/>
                <w:sz w:val="24"/>
                <w:szCs w:val="24"/>
              </w:rPr>
            </w:pPr>
            <w:r w:rsidRPr="0063147E">
              <w:rPr>
                <w:b/>
                <w:noProof/>
              </w:rPr>
              <w:drawing>
                <wp:inline distT="0" distB="0" distL="0" distR="0">
                  <wp:extent cx="2082800" cy="361950"/>
                  <wp:effectExtent l="0" t="0" r="0" b="0"/>
                  <wp:docPr id="2" name="Picture 2" descr="Logo C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pit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2800" cy="361950"/>
                          </a:xfrm>
                          <a:prstGeom prst="rect">
                            <a:avLst/>
                          </a:prstGeom>
                          <a:noFill/>
                          <a:ln>
                            <a:noFill/>
                          </a:ln>
                        </pic:spPr>
                      </pic:pic>
                    </a:graphicData>
                  </a:graphic>
                </wp:inline>
              </w:drawing>
            </w:r>
          </w:p>
          <w:p w:rsidR="00DE2449" w:rsidRDefault="00DE2449" w:rsidP="006D46D0">
            <w:pPr>
              <w:ind w:left="-108"/>
              <w:jc w:val="center"/>
              <w:rPr>
                <w:b/>
                <w:sz w:val="24"/>
                <w:szCs w:val="24"/>
              </w:rPr>
            </w:pPr>
            <w:r>
              <w:rPr>
                <w:b/>
                <w:sz w:val="24"/>
                <w:szCs w:val="24"/>
              </w:rPr>
              <w:t xml:space="preserve">CÔNG TY CỔ PHẦN </w:t>
            </w:r>
          </w:p>
          <w:p w:rsidR="00DE2449" w:rsidRPr="00980EB0" w:rsidRDefault="00E7740D" w:rsidP="006D46D0">
            <w:pPr>
              <w:ind w:left="-108"/>
              <w:jc w:val="center"/>
              <w:rPr>
                <w:b/>
                <w:sz w:val="24"/>
                <w:szCs w:val="24"/>
              </w:rPr>
            </w:pPr>
            <w:r w:rsidRPr="00E7740D">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174625</wp:posOffset>
                      </wp:positionV>
                      <wp:extent cx="1352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3525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3B4FED"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7.55pt,13.75pt" to="134.0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" strokecolor="black [3213]" strokeweight=".5pt">
                      <v:stroke joinstyle="miter"/>
                    </v:line>
                  </w:pict>
                </mc:Fallback>
              </mc:AlternateContent>
            </w:r>
            <w:r w:rsidR="00DE2449">
              <w:rPr>
                <w:b/>
                <w:sz w:val="24"/>
                <w:szCs w:val="24"/>
              </w:rPr>
              <w:t>QUẢN LÝ QUỸ KỸ THƯƠNG</w:t>
            </w:r>
          </w:p>
          <w:p w:rsidR="00DE2449" w:rsidRPr="00980EB0" w:rsidRDefault="00DE2449" w:rsidP="006D46D0">
            <w:pPr>
              <w:pStyle w:val="Header"/>
              <w:jc w:val="center"/>
            </w:pPr>
          </w:p>
          <w:p w:rsidR="00DE2449" w:rsidRPr="00980EB0" w:rsidRDefault="00FC46CB" w:rsidP="006D46D0">
            <w:pPr>
              <w:jc w:val="center"/>
              <w:rPr>
                <w:sz w:val="24"/>
                <w:szCs w:val="24"/>
              </w:rPr>
            </w:pPr>
            <w:r>
              <w:rPr>
                <w:sz w:val="24"/>
                <w:szCs w:val="24"/>
              </w:rPr>
              <w:t>Số: ………./ĐHĐCĐ-TCC</w:t>
            </w:r>
          </w:p>
        </w:tc>
        <w:tc>
          <w:tcPr>
            <w:tcW w:w="2984" w:type="pct"/>
          </w:tcPr>
          <w:p w:rsidR="00DE2449" w:rsidRPr="00980EB0" w:rsidRDefault="00DE2449" w:rsidP="006D46D0">
            <w:pPr>
              <w:rPr>
                <w:b/>
                <w:sz w:val="24"/>
                <w:szCs w:val="24"/>
              </w:rPr>
            </w:pPr>
            <w:r w:rsidRPr="00980EB0">
              <w:rPr>
                <w:b/>
                <w:sz w:val="24"/>
                <w:szCs w:val="24"/>
              </w:rPr>
              <w:t>CỘNG HOÀ XÃ HỘI CHỦ NGHĨA VIỆT NAM</w:t>
            </w:r>
          </w:p>
          <w:p w:rsidR="00DE2449" w:rsidRPr="00980EB0" w:rsidRDefault="00DE2449" w:rsidP="006D46D0">
            <w:pPr>
              <w:jc w:val="center"/>
              <w:rPr>
                <w:b/>
                <w:sz w:val="24"/>
                <w:szCs w:val="24"/>
              </w:rPr>
            </w:pPr>
            <w:r w:rsidRPr="00980EB0">
              <w:rPr>
                <w:b/>
                <w:sz w:val="24"/>
                <w:szCs w:val="24"/>
              </w:rPr>
              <w:t>Độc lập - Tự do - Hạnh phúc</w:t>
            </w:r>
          </w:p>
          <w:p w:rsidR="00DE2449" w:rsidRPr="00980EB0" w:rsidRDefault="00DE2449" w:rsidP="006D46D0">
            <w:pPr>
              <w:jc w:val="center"/>
              <w:rPr>
                <w:sz w:val="24"/>
                <w:szCs w:val="24"/>
              </w:rPr>
            </w:pPr>
            <w:r w:rsidRPr="00980EB0">
              <w:rPr>
                <w:sz w:val="24"/>
                <w:szCs w:val="24"/>
              </w:rPr>
              <w:sym w:font="Wingdings" w:char="F098"/>
            </w:r>
            <w:r w:rsidRPr="00980EB0">
              <w:rPr>
                <w:sz w:val="24"/>
                <w:szCs w:val="24"/>
              </w:rPr>
              <w:sym w:font="Wingdings" w:char="F099"/>
            </w:r>
          </w:p>
          <w:p w:rsidR="00DE2449" w:rsidRPr="00980EB0" w:rsidRDefault="00DE2449" w:rsidP="006D46D0">
            <w:pPr>
              <w:jc w:val="center"/>
              <w:rPr>
                <w:sz w:val="24"/>
                <w:szCs w:val="24"/>
              </w:rPr>
            </w:pPr>
          </w:p>
          <w:p w:rsidR="00DE2449" w:rsidRDefault="00DE2449" w:rsidP="006D46D0">
            <w:pPr>
              <w:jc w:val="right"/>
              <w:rPr>
                <w:i/>
                <w:sz w:val="24"/>
                <w:szCs w:val="24"/>
              </w:rPr>
            </w:pPr>
          </w:p>
          <w:p w:rsidR="00DE2449" w:rsidRPr="00980EB0" w:rsidRDefault="00DE2449" w:rsidP="00DE2449">
            <w:pPr>
              <w:jc w:val="right"/>
              <w:rPr>
                <w:i/>
                <w:sz w:val="24"/>
                <w:szCs w:val="24"/>
              </w:rPr>
            </w:pPr>
            <w:r w:rsidRPr="00980EB0">
              <w:rPr>
                <w:i/>
                <w:sz w:val="24"/>
                <w:szCs w:val="24"/>
              </w:rPr>
              <w:t>Hà Nội, ngày</w:t>
            </w:r>
            <w:r w:rsidR="00C21087">
              <w:rPr>
                <w:i/>
                <w:sz w:val="24"/>
                <w:szCs w:val="24"/>
              </w:rPr>
              <w:t xml:space="preserve"> …</w:t>
            </w:r>
            <w:r w:rsidRPr="00980EB0">
              <w:rPr>
                <w:i/>
                <w:sz w:val="24"/>
                <w:szCs w:val="24"/>
              </w:rPr>
              <w:t xml:space="preserve"> tháng </w:t>
            </w:r>
            <w:r w:rsidR="00C21087">
              <w:rPr>
                <w:i/>
                <w:sz w:val="24"/>
                <w:szCs w:val="24"/>
              </w:rPr>
              <w:t>…</w:t>
            </w:r>
            <w:r w:rsidRPr="00980EB0">
              <w:rPr>
                <w:i/>
                <w:sz w:val="24"/>
                <w:szCs w:val="24"/>
              </w:rPr>
              <w:t xml:space="preserve"> năm 201</w:t>
            </w:r>
            <w:r>
              <w:rPr>
                <w:i/>
                <w:sz w:val="24"/>
                <w:szCs w:val="24"/>
              </w:rPr>
              <w:t>9</w:t>
            </w:r>
          </w:p>
        </w:tc>
      </w:tr>
    </w:tbl>
    <w:p w:rsidR="00DE2449" w:rsidRPr="00980EB0" w:rsidRDefault="00DE2449" w:rsidP="00DE2449">
      <w:pPr>
        <w:jc w:val="center"/>
        <w:rPr>
          <w:b/>
          <w:sz w:val="24"/>
          <w:szCs w:val="24"/>
        </w:rPr>
      </w:pPr>
    </w:p>
    <w:p w:rsidR="00DE2449" w:rsidRDefault="00DE2449" w:rsidP="00DE2449">
      <w:pPr>
        <w:jc w:val="center"/>
        <w:rPr>
          <w:b/>
          <w:sz w:val="24"/>
          <w:szCs w:val="24"/>
        </w:rPr>
      </w:pPr>
    </w:p>
    <w:p w:rsidR="00DE2449" w:rsidRDefault="00DE2449" w:rsidP="00DE2449">
      <w:pPr>
        <w:jc w:val="center"/>
        <w:rPr>
          <w:b/>
          <w:sz w:val="24"/>
          <w:szCs w:val="24"/>
        </w:rPr>
      </w:pPr>
      <w:r>
        <w:rPr>
          <w:b/>
          <w:sz w:val="24"/>
          <w:szCs w:val="24"/>
        </w:rPr>
        <w:t>NGHỊ QUYẾT HỌP ĐẠI HỘI ĐỒNG CỔ ĐÔNG</w:t>
      </w:r>
    </w:p>
    <w:p w:rsidR="00DE2449" w:rsidRDefault="00DE2449" w:rsidP="00DE2449">
      <w:pPr>
        <w:ind w:left="-108"/>
        <w:jc w:val="center"/>
        <w:rPr>
          <w:b/>
          <w:sz w:val="24"/>
          <w:szCs w:val="24"/>
        </w:rPr>
      </w:pPr>
      <w:r>
        <w:rPr>
          <w:b/>
          <w:sz w:val="24"/>
          <w:szCs w:val="24"/>
        </w:rPr>
        <w:t>CÔNG TY CỔ PHẦN QUẢN LÝ QUỸ KỸ THƯƠNG</w:t>
      </w:r>
    </w:p>
    <w:p w:rsidR="00DE2449" w:rsidRDefault="00DE2449" w:rsidP="00DE2449">
      <w:pPr>
        <w:ind w:left="-108"/>
        <w:jc w:val="center"/>
        <w:rPr>
          <w:b/>
          <w:sz w:val="24"/>
          <w:szCs w:val="24"/>
        </w:rPr>
      </w:pPr>
    </w:p>
    <w:p w:rsidR="00DE2449" w:rsidRDefault="00DE2449" w:rsidP="00DE2449">
      <w:pPr>
        <w:numPr>
          <w:ilvl w:val="0"/>
          <w:numId w:val="1"/>
        </w:numPr>
        <w:tabs>
          <w:tab w:val="clear" w:pos="360"/>
          <w:tab w:val="left" w:pos="567"/>
        </w:tabs>
        <w:ind w:left="567" w:hanging="567"/>
        <w:jc w:val="both"/>
        <w:rPr>
          <w:bCs/>
          <w:i/>
          <w:sz w:val="24"/>
          <w:szCs w:val="24"/>
        </w:rPr>
      </w:pPr>
      <w:r>
        <w:rPr>
          <w:bCs/>
          <w:i/>
          <w:sz w:val="24"/>
          <w:szCs w:val="24"/>
        </w:rPr>
        <w:t>Căn cứ Luật Doanh n</w:t>
      </w:r>
      <w:r w:rsidRPr="008E18BE">
        <w:rPr>
          <w:bCs/>
          <w:i/>
          <w:sz w:val="24"/>
          <w:szCs w:val="24"/>
        </w:rPr>
        <w:t>g</w:t>
      </w:r>
      <w:r>
        <w:rPr>
          <w:bCs/>
          <w:i/>
          <w:sz w:val="24"/>
          <w:szCs w:val="24"/>
        </w:rPr>
        <w:t>hiệp số 68/2014/QH13 được Quốc h</w:t>
      </w:r>
      <w:r w:rsidRPr="008E18BE">
        <w:rPr>
          <w:bCs/>
          <w:i/>
          <w:sz w:val="24"/>
          <w:szCs w:val="24"/>
        </w:rPr>
        <w:t xml:space="preserve">ội </w:t>
      </w:r>
      <w:r>
        <w:rPr>
          <w:bCs/>
          <w:i/>
          <w:sz w:val="24"/>
          <w:szCs w:val="24"/>
        </w:rPr>
        <w:t xml:space="preserve">thông qua </w:t>
      </w:r>
      <w:r w:rsidRPr="008E18BE">
        <w:rPr>
          <w:bCs/>
          <w:i/>
          <w:sz w:val="24"/>
          <w:szCs w:val="24"/>
        </w:rPr>
        <w:t>ngày 26</w:t>
      </w:r>
      <w:r>
        <w:rPr>
          <w:bCs/>
          <w:i/>
          <w:sz w:val="24"/>
          <w:szCs w:val="24"/>
        </w:rPr>
        <w:t xml:space="preserve"> tháng 11 năm </w:t>
      </w:r>
      <w:r w:rsidRPr="008E18BE">
        <w:rPr>
          <w:bCs/>
          <w:i/>
          <w:sz w:val="24"/>
          <w:szCs w:val="24"/>
        </w:rPr>
        <w:t>2014;</w:t>
      </w:r>
    </w:p>
    <w:p w:rsidR="00DE2449" w:rsidRPr="00A1437D" w:rsidRDefault="00A1437D" w:rsidP="00A1437D">
      <w:pPr>
        <w:numPr>
          <w:ilvl w:val="0"/>
          <w:numId w:val="1"/>
        </w:numPr>
        <w:tabs>
          <w:tab w:val="clear" w:pos="360"/>
          <w:tab w:val="left" w:pos="567"/>
        </w:tabs>
        <w:ind w:left="567" w:hanging="567"/>
        <w:jc w:val="both"/>
        <w:rPr>
          <w:bCs/>
          <w:i/>
          <w:sz w:val="24"/>
          <w:szCs w:val="24"/>
        </w:rPr>
      </w:pPr>
      <w:r>
        <w:rPr>
          <w:bCs/>
          <w:i/>
          <w:sz w:val="24"/>
          <w:szCs w:val="24"/>
        </w:rPr>
        <w:t>Căn cứ Điều lệ Công ty Cổ phần Quản lý Quỹ Kỹ thương;</w:t>
      </w:r>
    </w:p>
    <w:p w:rsidR="00DE2449" w:rsidRPr="00493A70" w:rsidRDefault="00853267" w:rsidP="00DE2449">
      <w:pPr>
        <w:numPr>
          <w:ilvl w:val="0"/>
          <w:numId w:val="1"/>
        </w:numPr>
        <w:tabs>
          <w:tab w:val="clear" w:pos="360"/>
          <w:tab w:val="left" w:pos="567"/>
        </w:tabs>
        <w:ind w:left="567" w:hanging="567"/>
        <w:jc w:val="both"/>
        <w:rPr>
          <w:b/>
          <w:bCs/>
          <w:i/>
          <w:sz w:val="24"/>
          <w:szCs w:val="24"/>
        </w:rPr>
      </w:pPr>
      <w:r>
        <w:rPr>
          <w:bCs/>
          <w:i/>
          <w:sz w:val="24"/>
          <w:szCs w:val="24"/>
        </w:rPr>
        <w:t>Căn cứ biên bản họp số ngày … tháng …</w:t>
      </w:r>
      <w:r w:rsidR="00DE2449">
        <w:rPr>
          <w:bCs/>
          <w:i/>
          <w:sz w:val="24"/>
          <w:szCs w:val="24"/>
        </w:rPr>
        <w:t xml:space="preserve"> năm 2019 của cuộc họp Đại hội đồng cổ đông (“</w:t>
      </w:r>
      <w:r w:rsidR="00DE2449">
        <w:rPr>
          <w:b/>
          <w:bCs/>
          <w:i/>
          <w:sz w:val="24"/>
          <w:szCs w:val="24"/>
        </w:rPr>
        <w:t>ĐHĐCĐ</w:t>
      </w:r>
      <w:r w:rsidR="00DE2449">
        <w:rPr>
          <w:bCs/>
          <w:i/>
          <w:sz w:val="24"/>
          <w:szCs w:val="24"/>
        </w:rPr>
        <w:t xml:space="preserve">”) </w:t>
      </w:r>
      <w:r w:rsidR="00C21EEE">
        <w:rPr>
          <w:bCs/>
          <w:i/>
          <w:sz w:val="24"/>
          <w:szCs w:val="24"/>
        </w:rPr>
        <w:t xml:space="preserve">phiên họp </w:t>
      </w:r>
      <w:r w:rsidR="00481B24">
        <w:rPr>
          <w:bCs/>
          <w:i/>
          <w:sz w:val="24"/>
          <w:szCs w:val="24"/>
        </w:rPr>
        <w:t>thường niên</w:t>
      </w:r>
      <w:r w:rsidR="00C21EEE">
        <w:rPr>
          <w:bCs/>
          <w:i/>
          <w:sz w:val="24"/>
          <w:szCs w:val="24"/>
        </w:rPr>
        <w:t xml:space="preserve"> năm 2019 </w:t>
      </w:r>
      <w:r w:rsidR="00A808BA">
        <w:rPr>
          <w:bCs/>
          <w:i/>
          <w:sz w:val="24"/>
          <w:szCs w:val="24"/>
        </w:rPr>
        <w:t>ngày … tháng … năm 2019</w:t>
      </w:r>
      <w:r w:rsidR="00DE2449">
        <w:rPr>
          <w:bCs/>
          <w:i/>
          <w:sz w:val="24"/>
          <w:szCs w:val="24"/>
        </w:rPr>
        <w:t xml:space="preserve"> của Công ty Cổ phần Quản lý quỹ Kỹ Thương (“</w:t>
      </w:r>
      <w:r w:rsidR="00DE2449">
        <w:rPr>
          <w:b/>
          <w:bCs/>
          <w:i/>
          <w:sz w:val="24"/>
          <w:szCs w:val="24"/>
        </w:rPr>
        <w:t>Công Ty</w:t>
      </w:r>
      <w:r w:rsidR="00BB28E4">
        <w:rPr>
          <w:bCs/>
          <w:i/>
          <w:sz w:val="24"/>
          <w:szCs w:val="24"/>
        </w:rPr>
        <w:t>”),</w:t>
      </w:r>
    </w:p>
    <w:p w:rsidR="00DE2449" w:rsidRDefault="00DE2449" w:rsidP="00DE2449">
      <w:pPr>
        <w:tabs>
          <w:tab w:val="left" w:pos="567"/>
        </w:tabs>
        <w:ind w:left="567"/>
        <w:jc w:val="both"/>
        <w:rPr>
          <w:bCs/>
          <w:sz w:val="24"/>
          <w:szCs w:val="24"/>
        </w:rPr>
      </w:pPr>
    </w:p>
    <w:p w:rsidR="00DE2449" w:rsidRPr="00493A70" w:rsidRDefault="00DE2449" w:rsidP="00DE2449">
      <w:pPr>
        <w:tabs>
          <w:tab w:val="left" w:pos="567"/>
        </w:tabs>
        <w:ind w:left="567"/>
        <w:jc w:val="center"/>
        <w:rPr>
          <w:b/>
          <w:bCs/>
          <w:sz w:val="24"/>
          <w:szCs w:val="24"/>
        </w:rPr>
      </w:pPr>
      <w:r w:rsidRPr="00493A70">
        <w:rPr>
          <w:b/>
          <w:bCs/>
          <w:sz w:val="24"/>
          <w:szCs w:val="24"/>
        </w:rPr>
        <w:t>QUYẾT NGHỊ</w:t>
      </w:r>
      <w:r w:rsidR="00721EE6">
        <w:rPr>
          <w:b/>
          <w:bCs/>
          <w:sz w:val="24"/>
          <w:szCs w:val="24"/>
        </w:rPr>
        <w:t>:</w:t>
      </w:r>
    </w:p>
    <w:p w:rsidR="00DE2449" w:rsidRDefault="00DE2449" w:rsidP="00FC46CB">
      <w:pPr>
        <w:spacing w:line="288" w:lineRule="auto"/>
        <w:jc w:val="both"/>
        <w:rPr>
          <w:b/>
          <w:sz w:val="24"/>
        </w:rPr>
      </w:pPr>
    </w:p>
    <w:p w:rsidR="00DE2449" w:rsidRPr="00E042A6" w:rsidRDefault="00FC46CB" w:rsidP="00481B24">
      <w:pPr>
        <w:spacing w:line="288" w:lineRule="auto"/>
        <w:ind w:left="900" w:hanging="900"/>
        <w:jc w:val="both"/>
        <w:rPr>
          <w:sz w:val="24"/>
          <w:szCs w:val="24"/>
        </w:rPr>
      </w:pPr>
      <w:r w:rsidRPr="00FC46CB">
        <w:rPr>
          <w:b/>
        </w:rPr>
        <w:t xml:space="preserve">Điều 1. </w:t>
      </w:r>
      <w:r w:rsidR="00481B24" w:rsidRPr="00E042A6">
        <w:rPr>
          <w:sz w:val="24"/>
          <w:szCs w:val="24"/>
        </w:rPr>
        <w:t>Thông qua Báo cáo của HĐQT đánh giá thực trạng công tác quản lý và kinh doanh của Công ty</w:t>
      </w:r>
      <w:r w:rsidRPr="00E042A6">
        <w:rPr>
          <w:sz w:val="24"/>
          <w:szCs w:val="24"/>
        </w:rPr>
        <w:t>.</w:t>
      </w:r>
      <w:r w:rsidR="00DE2449" w:rsidRPr="00E042A6">
        <w:rPr>
          <w:sz w:val="24"/>
          <w:szCs w:val="24"/>
        </w:rPr>
        <w:t xml:space="preserve"> </w:t>
      </w:r>
    </w:p>
    <w:p w:rsidR="00FC46CB" w:rsidRPr="00E042A6" w:rsidRDefault="00FC46CB" w:rsidP="002501AB">
      <w:pPr>
        <w:spacing w:line="288" w:lineRule="auto"/>
        <w:ind w:left="900" w:hanging="900"/>
        <w:jc w:val="both"/>
        <w:rPr>
          <w:sz w:val="24"/>
          <w:szCs w:val="24"/>
        </w:rPr>
      </w:pPr>
      <w:r w:rsidRPr="00E042A6">
        <w:rPr>
          <w:b/>
          <w:sz w:val="24"/>
          <w:szCs w:val="24"/>
        </w:rPr>
        <w:t>Điều 2.</w:t>
      </w:r>
      <w:r w:rsidR="007D1856" w:rsidRPr="00E042A6">
        <w:rPr>
          <w:sz w:val="24"/>
          <w:szCs w:val="24"/>
        </w:rPr>
        <w:t xml:space="preserve">  </w:t>
      </w:r>
      <w:r w:rsidR="00481B24" w:rsidRPr="00E042A6">
        <w:rPr>
          <w:sz w:val="24"/>
          <w:szCs w:val="24"/>
        </w:rPr>
        <w:t>Thông qua Báo cáo của Ban Kiểm soát về quản lý công ty, Tổng Giám đốc</w:t>
      </w:r>
      <w:r w:rsidRPr="00E042A6">
        <w:rPr>
          <w:sz w:val="24"/>
          <w:szCs w:val="24"/>
        </w:rPr>
        <w:t>.</w:t>
      </w:r>
    </w:p>
    <w:p w:rsidR="00FC46CB" w:rsidRPr="00E042A6" w:rsidRDefault="00FC46CB" w:rsidP="00C21EEE">
      <w:pPr>
        <w:spacing w:line="288" w:lineRule="auto"/>
        <w:ind w:left="900" w:hanging="900"/>
        <w:jc w:val="both"/>
        <w:rPr>
          <w:sz w:val="24"/>
          <w:szCs w:val="24"/>
        </w:rPr>
      </w:pPr>
      <w:r w:rsidRPr="00E042A6">
        <w:rPr>
          <w:b/>
          <w:sz w:val="24"/>
          <w:szCs w:val="24"/>
        </w:rPr>
        <w:t>Điều 3.</w:t>
      </w:r>
      <w:r w:rsidRPr="00E042A6">
        <w:rPr>
          <w:sz w:val="24"/>
          <w:szCs w:val="24"/>
        </w:rPr>
        <w:t xml:space="preserve"> </w:t>
      </w:r>
      <w:r w:rsidR="00481B24" w:rsidRPr="00E042A6">
        <w:rPr>
          <w:sz w:val="24"/>
          <w:szCs w:val="24"/>
        </w:rPr>
        <w:t xml:space="preserve">Thông qua Báo cáo tài chính năm 2018 và Báo cáo an toàn tài chính năm 2018 đã được kiểm toán và phương án phân phối lợi nhuận năm 2018 theo nội dung Tờ </w:t>
      </w:r>
      <w:r w:rsidR="00481B24" w:rsidRPr="00E042A6">
        <w:rPr>
          <w:sz w:val="24"/>
          <w:szCs w:val="24"/>
          <w:highlight w:val="yellow"/>
        </w:rPr>
        <w:t>trình số         ngày     .</w:t>
      </w:r>
    </w:p>
    <w:p w:rsidR="00481B24" w:rsidRPr="00E042A6" w:rsidRDefault="00481B24" w:rsidP="00481B24">
      <w:pPr>
        <w:spacing w:line="288" w:lineRule="auto"/>
        <w:ind w:left="900" w:hanging="900"/>
        <w:jc w:val="both"/>
        <w:rPr>
          <w:sz w:val="24"/>
          <w:szCs w:val="24"/>
        </w:rPr>
      </w:pPr>
      <w:r w:rsidRPr="00E042A6">
        <w:rPr>
          <w:b/>
          <w:sz w:val="24"/>
          <w:szCs w:val="24"/>
        </w:rPr>
        <w:t>Điều 4.</w:t>
      </w:r>
      <w:r w:rsidRPr="00E042A6">
        <w:rPr>
          <w:sz w:val="24"/>
          <w:szCs w:val="24"/>
        </w:rPr>
        <w:t xml:space="preserve"> Thông qua việc lựa chọn Công ty TNHH Ernst &amp; Young Việt Nam Việt Nam là đơn vị  kiểm toán độc lập để kiểm toán các báo cáo tài chính của TCC năm 2019 theo nội dung Tờ </w:t>
      </w:r>
      <w:r w:rsidRPr="00E042A6">
        <w:rPr>
          <w:sz w:val="24"/>
          <w:szCs w:val="24"/>
          <w:highlight w:val="yellow"/>
        </w:rPr>
        <w:t>trình số         ngày     .</w:t>
      </w:r>
    </w:p>
    <w:p w:rsidR="00481B24" w:rsidRPr="00E042A6" w:rsidRDefault="00481B24" w:rsidP="00481B24">
      <w:pPr>
        <w:spacing w:line="288" w:lineRule="auto"/>
        <w:ind w:left="900" w:hanging="900"/>
        <w:jc w:val="both"/>
        <w:rPr>
          <w:sz w:val="24"/>
          <w:szCs w:val="24"/>
        </w:rPr>
      </w:pPr>
      <w:r w:rsidRPr="00E042A6">
        <w:rPr>
          <w:b/>
          <w:sz w:val="24"/>
          <w:szCs w:val="24"/>
        </w:rPr>
        <w:t>Điều 4.</w:t>
      </w:r>
      <w:r w:rsidRPr="00E042A6">
        <w:rPr>
          <w:sz w:val="24"/>
          <w:szCs w:val="24"/>
        </w:rPr>
        <w:t xml:space="preserve"> Thông qua việc Ủy quyền cho HĐQT phê duyệt các giao dịch đầu tư hoặc bán số t</w:t>
      </w:r>
      <w:r w:rsidR="00916A52">
        <w:rPr>
          <w:sz w:val="24"/>
          <w:szCs w:val="24"/>
        </w:rPr>
        <w:t>ài sản có giá trị  bằng hoặc nhỏ</w:t>
      </w:r>
      <w:bookmarkStart w:id="0" w:name="_GoBack"/>
      <w:bookmarkEnd w:id="0"/>
      <w:r w:rsidRPr="00E042A6">
        <w:rPr>
          <w:sz w:val="24"/>
          <w:szCs w:val="24"/>
        </w:rPr>
        <w:t xml:space="preserve"> hơn 40% tổng giá trị tài sản được ghi trong báo cáo tài chính gần nhất của Công ty (không bao gồm tài sản của nhà đầu tư ủy thác và các Quỹ do Công ty quản lý) và Giao HĐQT ban hành Qui định thẩm quyền phê duyệt giao dịch sử dụng tổng giá trị tài sản đảm bảo nguyên tắc quản trị rủi ro cho TCC theo nội dung Tờ </w:t>
      </w:r>
      <w:r w:rsidRPr="00E042A6">
        <w:rPr>
          <w:sz w:val="24"/>
          <w:szCs w:val="24"/>
          <w:highlight w:val="yellow"/>
        </w:rPr>
        <w:t xml:space="preserve">trình số         ngày     </w:t>
      </w:r>
      <w:r w:rsidRPr="00E042A6">
        <w:rPr>
          <w:sz w:val="24"/>
          <w:szCs w:val="24"/>
        </w:rPr>
        <w:t>.</w:t>
      </w:r>
    </w:p>
    <w:p w:rsidR="00DE2449" w:rsidRPr="00E042A6" w:rsidRDefault="00FC46CB" w:rsidP="00481B24">
      <w:pPr>
        <w:spacing w:line="288" w:lineRule="auto"/>
        <w:ind w:left="900" w:hanging="900"/>
        <w:jc w:val="both"/>
        <w:rPr>
          <w:b/>
          <w:sz w:val="24"/>
          <w:szCs w:val="24"/>
          <w:lang w:val="sv-SE"/>
        </w:rPr>
      </w:pPr>
      <w:r w:rsidRPr="00E042A6">
        <w:rPr>
          <w:b/>
          <w:sz w:val="24"/>
          <w:szCs w:val="24"/>
          <w:lang w:val="sv-SE"/>
        </w:rPr>
        <w:t>Điều 4</w:t>
      </w:r>
      <w:r w:rsidR="002501AB" w:rsidRPr="00E042A6">
        <w:rPr>
          <w:b/>
          <w:sz w:val="24"/>
          <w:szCs w:val="24"/>
          <w:lang w:val="sv-SE"/>
        </w:rPr>
        <w:t xml:space="preserve">:   </w:t>
      </w:r>
      <w:r w:rsidR="00DE2449" w:rsidRPr="00E042A6">
        <w:rPr>
          <w:sz w:val="24"/>
          <w:szCs w:val="24"/>
          <w:lang w:val="sv-SE"/>
        </w:rPr>
        <w:t>Hiệu lực</w:t>
      </w:r>
      <w:r w:rsidR="00DE2449" w:rsidRPr="00E042A6">
        <w:rPr>
          <w:bCs/>
          <w:iCs/>
          <w:sz w:val="24"/>
          <w:szCs w:val="24"/>
          <w:lang w:val="de-DE"/>
        </w:rPr>
        <w:t xml:space="preserve"> và thi hành</w:t>
      </w:r>
    </w:p>
    <w:p w:rsidR="00FC46CB" w:rsidRPr="00E042A6" w:rsidRDefault="002501AB" w:rsidP="00C21EEE">
      <w:pPr>
        <w:spacing w:line="288" w:lineRule="auto"/>
        <w:ind w:left="900"/>
        <w:jc w:val="both"/>
        <w:rPr>
          <w:sz w:val="24"/>
          <w:szCs w:val="24"/>
          <w:lang w:val="sv-SE"/>
        </w:rPr>
      </w:pPr>
      <w:r w:rsidRPr="00E042A6">
        <w:rPr>
          <w:sz w:val="24"/>
          <w:szCs w:val="24"/>
          <w:lang w:val="sv-SE"/>
        </w:rPr>
        <w:t xml:space="preserve">Toàn thể cổ đông, </w:t>
      </w:r>
      <w:r w:rsidR="00DE2449" w:rsidRPr="00E042A6">
        <w:rPr>
          <w:sz w:val="24"/>
          <w:szCs w:val="24"/>
          <w:lang w:val="sv-SE"/>
        </w:rPr>
        <w:t>HĐQT, Tổng Giám đốc và các phòng ban, cá nhân có liên quan thuộc Công Ty chịu trách nhiệm thi hành Nghị quyết này.</w:t>
      </w:r>
    </w:p>
    <w:p w:rsidR="002501AB" w:rsidRPr="00E042A6" w:rsidRDefault="002501AB" w:rsidP="00C21EEE">
      <w:pPr>
        <w:tabs>
          <w:tab w:val="left" w:pos="720"/>
        </w:tabs>
        <w:spacing w:line="288" w:lineRule="auto"/>
        <w:ind w:left="900" w:right="-18"/>
        <w:jc w:val="both"/>
        <w:rPr>
          <w:sz w:val="24"/>
          <w:szCs w:val="24"/>
          <w:lang w:val="sv-SE"/>
        </w:rPr>
      </w:pPr>
      <w:r w:rsidRPr="00E042A6">
        <w:rPr>
          <w:sz w:val="24"/>
          <w:szCs w:val="24"/>
          <w:lang w:val="sv-SE"/>
        </w:rPr>
        <w:t>Nghị quyết này này có hiệu lực kể từ ngày ký. /.</w:t>
      </w:r>
    </w:p>
    <w:p w:rsidR="00FC46CB" w:rsidRPr="007D1856" w:rsidRDefault="00FC46CB" w:rsidP="00DE2449">
      <w:pPr>
        <w:jc w:val="both"/>
        <w:rPr>
          <w:lang w:val="sv-SE"/>
        </w:rPr>
      </w:pPr>
    </w:p>
    <w:tbl>
      <w:tblPr>
        <w:tblW w:w="8815" w:type="dxa"/>
        <w:tblLook w:val="01E0" w:firstRow="1" w:lastRow="1" w:firstColumn="1" w:lastColumn="1" w:noHBand="0" w:noVBand="0"/>
      </w:tblPr>
      <w:tblGrid>
        <w:gridCol w:w="2965"/>
        <w:gridCol w:w="5850"/>
      </w:tblGrid>
      <w:tr w:rsidR="00DE2449" w:rsidRPr="00980EB0" w:rsidTr="00C21EEE">
        <w:trPr>
          <w:trHeight w:val="270"/>
        </w:trPr>
        <w:tc>
          <w:tcPr>
            <w:tcW w:w="2965" w:type="dxa"/>
          </w:tcPr>
          <w:p w:rsidR="00FC46CB" w:rsidRPr="007D1856" w:rsidRDefault="00FC46CB" w:rsidP="00E317B7">
            <w:pPr>
              <w:rPr>
                <w:b/>
                <w:sz w:val="24"/>
                <w:szCs w:val="24"/>
                <w:lang w:val="sv-SE"/>
              </w:rPr>
            </w:pPr>
          </w:p>
        </w:tc>
        <w:tc>
          <w:tcPr>
            <w:tcW w:w="5850" w:type="dxa"/>
          </w:tcPr>
          <w:p w:rsidR="00DE2449" w:rsidRPr="007D1856" w:rsidRDefault="00DE2449" w:rsidP="00C21EEE">
            <w:pPr>
              <w:jc w:val="center"/>
              <w:rPr>
                <w:b/>
                <w:sz w:val="24"/>
                <w:szCs w:val="24"/>
                <w:lang w:val="sv-SE"/>
              </w:rPr>
            </w:pPr>
            <w:r w:rsidRPr="007D1856">
              <w:rPr>
                <w:b/>
                <w:sz w:val="24"/>
                <w:szCs w:val="24"/>
                <w:lang w:val="sv-SE"/>
              </w:rPr>
              <w:t xml:space="preserve">TM. </w:t>
            </w:r>
            <w:r w:rsidRPr="007D1856">
              <w:rPr>
                <w:b/>
                <w:bCs/>
                <w:sz w:val="24"/>
                <w:szCs w:val="24"/>
                <w:lang w:val="sv-SE"/>
              </w:rPr>
              <w:t>ĐẠI HỘI ĐỒNG CỔ ĐÔNG</w:t>
            </w:r>
          </w:p>
          <w:p w:rsidR="00DE2449" w:rsidRDefault="00DE2449" w:rsidP="00C21EEE">
            <w:pPr>
              <w:ind w:left="-108" w:hanging="18"/>
              <w:rPr>
                <w:b/>
                <w:sz w:val="24"/>
                <w:szCs w:val="24"/>
                <w:lang w:val="sv-SE"/>
              </w:rPr>
            </w:pPr>
            <w:r w:rsidRPr="007D1856">
              <w:rPr>
                <w:b/>
                <w:sz w:val="24"/>
                <w:szCs w:val="24"/>
                <w:lang w:val="sv-SE"/>
              </w:rPr>
              <w:t>CÔNG TY CỔ PHẦN QUẢN LÝ QUỸ KỸ THƯƠNG</w:t>
            </w:r>
          </w:p>
          <w:p w:rsidR="00E7740D" w:rsidRPr="007D1856" w:rsidRDefault="00E7740D" w:rsidP="00E7740D">
            <w:pPr>
              <w:ind w:left="-108" w:hanging="18"/>
              <w:jc w:val="center"/>
              <w:rPr>
                <w:b/>
                <w:sz w:val="24"/>
                <w:szCs w:val="24"/>
                <w:lang w:val="sv-SE"/>
              </w:rPr>
            </w:pPr>
            <w:r>
              <w:rPr>
                <w:b/>
                <w:sz w:val="24"/>
                <w:szCs w:val="24"/>
                <w:lang w:val="sv-SE"/>
              </w:rPr>
              <w:t>CHỦ TỊCH HỘI ĐỒNG QUẢN TRỊ</w:t>
            </w:r>
          </w:p>
          <w:p w:rsidR="00DE2449" w:rsidRPr="007D1856" w:rsidRDefault="00DE2449" w:rsidP="006D46D0">
            <w:pPr>
              <w:ind w:left="-108" w:hanging="18"/>
              <w:jc w:val="center"/>
              <w:rPr>
                <w:b/>
                <w:sz w:val="24"/>
                <w:szCs w:val="24"/>
                <w:lang w:val="sv-SE"/>
              </w:rPr>
            </w:pPr>
          </w:p>
          <w:p w:rsidR="00DE2449" w:rsidRDefault="00DE2449" w:rsidP="006D46D0">
            <w:pPr>
              <w:ind w:left="-108" w:hanging="18"/>
              <w:jc w:val="center"/>
              <w:rPr>
                <w:b/>
                <w:sz w:val="24"/>
                <w:szCs w:val="24"/>
                <w:lang w:val="sv-SE"/>
              </w:rPr>
            </w:pPr>
          </w:p>
          <w:p w:rsidR="00C21EEE" w:rsidRPr="007D1856" w:rsidRDefault="00C21EEE" w:rsidP="006D46D0">
            <w:pPr>
              <w:ind w:left="-108" w:hanging="18"/>
              <w:jc w:val="center"/>
              <w:rPr>
                <w:b/>
                <w:sz w:val="24"/>
                <w:szCs w:val="24"/>
                <w:lang w:val="sv-SE"/>
              </w:rPr>
            </w:pPr>
          </w:p>
          <w:p w:rsidR="00DE2449" w:rsidRPr="007D1856" w:rsidRDefault="00DE2449" w:rsidP="006D46D0">
            <w:pPr>
              <w:ind w:left="-108" w:hanging="18"/>
              <w:jc w:val="center"/>
              <w:rPr>
                <w:b/>
                <w:sz w:val="24"/>
                <w:szCs w:val="24"/>
                <w:lang w:val="sv-SE"/>
              </w:rPr>
            </w:pPr>
          </w:p>
          <w:p w:rsidR="00DE2449" w:rsidRPr="00980EB0" w:rsidRDefault="00DE2449" w:rsidP="006D46D0">
            <w:pPr>
              <w:ind w:left="-108" w:hanging="18"/>
              <w:jc w:val="center"/>
              <w:rPr>
                <w:b/>
                <w:sz w:val="24"/>
                <w:szCs w:val="24"/>
              </w:rPr>
            </w:pPr>
            <w:r>
              <w:rPr>
                <w:b/>
                <w:sz w:val="24"/>
                <w:szCs w:val="24"/>
              </w:rPr>
              <w:t>NGUYỄN THỊ THU HIỀN</w:t>
            </w:r>
          </w:p>
        </w:tc>
      </w:tr>
    </w:tbl>
    <w:p w:rsidR="00DE2449" w:rsidRDefault="00DE2449" w:rsidP="00DE2449">
      <w:pPr>
        <w:rPr>
          <w:sz w:val="24"/>
          <w:szCs w:val="24"/>
        </w:rPr>
        <w:sectPr w:rsidR="00DE2449" w:rsidSect="00E042A6">
          <w:footerReference w:type="even" r:id="rId8"/>
          <w:footerReference w:type="default" r:id="rId9"/>
          <w:pgSz w:w="11909" w:h="16834" w:code="9"/>
          <w:pgMar w:top="540" w:right="1418" w:bottom="720" w:left="1701" w:header="720" w:footer="61" w:gutter="0"/>
          <w:cols w:space="720"/>
          <w:docGrid w:linePitch="360"/>
        </w:sectPr>
      </w:pPr>
    </w:p>
    <w:p w:rsidR="00DE2449" w:rsidRPr="00980EB0" w:rsidRDefault="00DE2449" w:rsidP="00DE2449">
      <w:pPr>
        <w:rPr>
          <w:sz w:val="24"/>
          <w:szCs w:val="24"/>
        </w:rPr>
      </w:pPr>
    </w:p>
    <w:p w:rsidR="00322F47" w:rsidRDefault="00322F47"/>
    <w:sectPr w:rsidR="00322F47" w:rsidSect="00B85FE1">
      <w:type w:val="continuous"/>
      <w:pgSz w:w="11909" w:h="16834" w:code="9"/>
      <w:pgMar w:top="1418" w:right="1418" w:bottom="1418" w:left="1701" w:header="720" w:footer="941"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D5D" w:rsidRDefault="00725D5D">
      <w:r>
        <w:separator/>
      </w:r>
    </w:p>
  </w:endnote>
  <w:endnote w:type="continuationSeparator" w:id="0">
    <w:p w:rsidR="00725D5D" w:rsidRDefault="00725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8CE" w:rsidRDefault="00DE2449" w:rsidP="009806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58CE" w:rsidRDefault="00725D5D" w:rsidP="006E731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8CE" w:rsidRPr="0021264F" w:rsidRDefault="00DE2449">
    <w:pPr>
      <w:pStyle w:val="Footer"/>
      <w:jc w:val="center"/>
      <w:rPr>
        <w:sz w:val="24"/>
        <w:szCs w:val="24"/>
      </w:rPr>
    </w:pPr>
    <w:r w:rsidRPr="0021264F">
      <w:rPr>
        <w:sz w:val="24"/>
        <w:szCs w:val="24"/>
      </w:rPr>
      <w:fldChar w:fldCharType="begin"/>
    </w:r>
    <w:r w:rsidRPr="0021264F">
      <w:rPr>
        <w:sz w:val="24"/>
        <w:szCs w:val="24"/>
      </w:rPr>
      <w:instrText xml:space="preserve"> PAGE   \* MERGEFORMAT </w:instrText>
    </w:r>
    <w:r w:rsidRPr="0021264F">
      <w:rPr>
        <w:sz w:val="24"/>
        <w:szCs w:val="24"/>
      </w:rPr>
      <w:fldChar w:fldCharType="separate"/>
    </w:r>
    <w:r w:rsidR="00916A52">
      <w:rPr>
        <w:noProof/>
        <w:sz w:val="24"/>
        <w:szCs w:val="24"/>
      </w:rPr>
      <w:t>1</w:t>
    </w:r>
    <w:r w:rsidRPr="0021264F">
      <w:rPr>
        <w:sz w:val="24"/>
        <w:szCs w:val="24"/>
      </w:rPr>
      <w:fldChar w:fldCharType="end"/>
    </w:r>
  </w:p>
  <w:p w:rsidR="00C958CE" w:rsidRDefault="00725D5D" w:rsidP="006E731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D5D" w:rsidRDefault="00725D5D">
      <w:r>
        <w:separator/>
      </w:r>
    </w:p>
  </w:footnote>
  <w:footnote w:type="continuationSeparator" w:id="0">
    <w:p w:rsidR="00725D5D" w:rsidRDefault="00725D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770D"/>
    <w:multiLevelType w:val="hybridMultilevel"/>
    <w:tmpl w:val="FE5EE81A"/>
    <w:lvl w:ilvl="0" w:tplc="85F203D2">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B70F1"/>
    <w:multiLevelType w:val="hybridMultilevel"/>
    <w:tmpl w:val="A0B0F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C4705"/>
    <w:multiLevelType w:val="hybridMultilevel"/>
    <w:tmpl w:val="A0B0F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90008C"/>
    <w:multiLevelType w:val="multilevel"/>
    <w:tmpl w:val="16E846C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4D352171"/>
    <w:multiLevelType w:val="hybridMultilevel"/>
    <w:tmpl w:val="658C1E2E"/>
    <w:lvl w:ilvl="0" w:tplc="04090017">
      <w:start w:val="1"/>
      <w:numFmt w:val="lowerLetter"/>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6B3C1B8A"/>
    <w:multiLevelType w:val="hybridMultilevel"/>
    <w:tmpl w:val="74EE368C"/>
    <w:lvl w:ilvl="0" w:tplc="09CEA344">
      <w:start w:val="4"/>
      <w:numFmt w:val="bullet"/>
      <w:lvlText w:val="-"/>
      <w:lvlJc w:val="left"/>
      <w:pPr>
        <w:tabs>
          <w:tab w:val="num" w:pos="360"/>
        </w:tabs>
        <w:ind w:left="360" w:hanging="360"/>
      </w:pPr>
      <w:rPr>
        <w:rFonts w:ascii="Arial" w:eastAsia="Times New Roman"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449"/>
    <w:rsid w:val="000006AB"/>
    <w:rsid w:val="00054FC0"/>
    <w:rsid w:val="00060371"/>
    <w:rsid w:val="00077ABD"/>
    <w:rsid w:val="000A45D1"/>
    <w:rsid w:val="000A4F7E"/>
    <w:rsid w:val="000A7C90"/>
    <w:rsid w:val="000B58D6"/>
    <w:rsid w:val="000B6E38"/>
    <w:rsid w:val="000C14DE"/>
    <w:rsid w:val="000D2274"/>
    <w:rsid w:val="0013674B"/>
    <w:rsid w:val="00193212"/>
    <w:rsid w:val="001A6D39"/>
    <w:rsid w:val="00230380"/>
    <w:rsid w:val="00231564"/>
    <w:rsid w:val="00233B74"/>
    <w:rsid w:val="00240E7D"/>
    <w:rsid w:val="002501AB"/>
    <w:rsid w:val="00251DE7"/>
    <w:rsid w:val="00256444"/>
    <w:rsid w:val="00277A3B"/>
    <w:rsid w:val="00294AE6"/>
    <w:rsid w:val="002B76D8"/>
    <w:rsid w:val="002D31DE"/>
    <w:rsid w:val="002E00E2"/>
    <w:rsid w:val="002F4DFE"/>
    <w:rsid w:val="00301E61"/>
    <w:rsid w:val="003023B6"/>
    <w:rsid w:val="00322F47"/>
    <w:rsid w:val="00377C6C"/>
    <w:rsid w:val="00385A80"/>
    <w:rsid w:val="00391196"/>
    <w:rsid w:val="004126A8"/>
    <w:rsid w:val="00460C98"/>
    <w:rsid w:val="00464DF0"/>
    <w:rsid w:val="00481B24"/>
    <w:rsid w:val="004962C1"/>
    <w:rsid w:val="0049738B"/>
    <w:rsid w:val="004D2A8A"/>
    <w:rsid w:val="004D7491"/>
    <w:rsid w:val="004D7AE9"/>
    <w:rsid w:val="004F0CDA"/>
    <w:rsid w:val="004F2EDA"/>
    <w:rsid w:val="004F76B8"/>
    <w:rsid w:val="005129DE"/>
    <w:rsid w:val="00546F21"/>
    <w:rsid w:val="00553B59"/>
    <w:rsid w:val="00573EFD"/>
    <w:rsid w:val="005B223F"/>
    <w:rsid w:val="005D6CA2"/>
    <w:rsid w:val="005F2742"/>
    <w:rsid w:val="006135EB"/>
    <w:rsid w:val="00626599"/>
    <w:rsid w:val="00673FB0"/>
    <w:rsid w:val="006C4D14"/>
    <w:rsid w:val="006F5601"/>
    <w:rsid w:val="00711734"/>
    <w:rsid w:val="00721EE6"/>
    <w:rsid w:val="00725861"/>
    <w:rsid w:val="00725D5D"/>
    <w:rsid w:val="00753CA1"/>
    <w:rsid w:val="007A1A9C"/>
    <w:rsid w:val="007B592F"/>
    <w:rsid w:val="007D1856"/>
    <w:rsid w:val="007D45A5"/>
    <w:rsid w:val="00831212"/>
    <w:rsid w:val="00840904"/>
    <w:rsid w:val="00853267"/>
    <w:rsid w:val="00892490"/>
    <w:rsid w:val="008978EC"/>
    <w:rsid w:val="008F57A8"/>
    <w:rsid w:val="00905A1F"/>
    <w:rsid w:val="00916A52"/>
    <w:rsid w:val="009669AC"/>
    <w:rsid w:val="00976904"/>
    <w:rsid w:val="009E357E"/>
    <w:rsid w:val="009E7933"/>
    <w:rsid w:val="009F05B9"/>
    <w:rsid w:val="00A1437D"/>
    <w:rsid w:val="00A27A12"/>
    <w:rsid w:val="00A34BE6"/>
    <w:rsid w:val="00A808BA"/>
    <w:rsid w:val="00A832B3"/>
    <w:rsid w:val="00AE04AA"/>
    <w:rsid w:val="00B31E37"/>
    <w:rsid w:val="00B33794"/>
    <w:rsid w:val="00B35EE2"/>
    <w:rsid w:val="00B61D61"/>
    <w:rsid w:val="00B6562A"/>
    <w:rsid w:val="00B67D13"/>
    <w:rsid w:val="00BB28E4"/>
    <w:rsid w:val="00C04D7D"/>
    <w:rsid w:val="00C21087"/>
    <w:rsid w:val="00C21EEE"/>
    <w:rsid w:val="00C37467"/>
    <w:rsid w:val="00C51679"/>
    <w:rsid w:val="00C52ED9"/>
    <w:rsid w:val="00C552B0"/>
    <w:rsid w:val="00C55DC0"/>
    <w:rsid w:val="00C6376E"/>
    <w:rsid w:val="00C85606"/>
    <w:rsid w:val="00CA1396"/>
    <w:rsid w:val="00CA666A"/>
    <w:rsid w:val="00CB271A"/>
    <w:rsid w:val="00CD7BE0"/>
    <w:rsid w:val="00CE64A4"/>
    <w:rsid w:val="00D11FCF"/>
    <w:rsid w:val="00D22977"/>
    <w:rsid w:val="00D23805"/>
    <w:rsid w:val="00D32543"/>
    <w:rsid w:val="00D37B12"/>
    <w:rsid w:val="00D64B11"/>
    <w:rsid w:val="00D80A7A"/>
    <w:rsid w:val="00DA7EC9"/>
    <w:rsid w:val="00DB6798"/>
    <w:rsid w:val="00DB6A55"/>
    <w:rsid w:val="00DE2449"/>
    <w:rsid w:val="00DF05CF"/>
    <w:rsid w:val="00E042A6"/>
    <w:rsid w:val="00E05635"/>
    <w:rsid w:val="00E07373"/>
    <w:rsid w:val="00E13AF8"/>
    <w:rsid w:val="00E24FDF"/>
    <w:rsid w:val="00E317B7"/>
    <w:rsid w:val="00E32D41"/>
    <w:rsid w:val="00E36485"/>
    <w:rsid w:val="00E67021"/>
    <w:rsid w:val="00E7740D"/>
    <w:rsid w:val="00E85EC6"/>
    <w:rsid w:val="00EA1261"/>
    <w:rsid w:val="00ED001A"/>
    <w:rsid w:val="00ED01B4"/>
    <w:rsid w:val="00EE52A4"/>
    <w:rsid w:val="00F14A57"/>
    <w:rsid w:val="00F234C3"/>
    <w:rsid w:val="00F96B2C"/>
    <w:rsid w:val="00FC4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48659"/>
  <w15:chartTrackingRefBased/>
  <w15:docId w15:val="{9C737BF1-A49C-4DDE-910C-856836DF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449"/>
    <w:pPr>
      <w:spacing w:after="0" w:line="240" w:lineRule="auto"/>
    </w:pPr>
    <w:rPr>
      <w:rFonts w:ascii="Times New Roman" w:eastAsia="Times New Roman" w:hAnsi="Times New Roman"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E2449"/>
    <w:pPr>
      <w:tabs>
        <w:tab w:val="center" w:pos="4320"/>
        <w:tab w:val="right" w:pos="8640"/>
      </w:tabs>
    </w:pPr>
    <w:rPr>
      <w:rFonts w:ascii=".VnTime" w:hAnsi=".VnTime" w:cs="Times New Roman"/>
      <w:sz w:val="24"/>
      <w:szCs w:val="24"/>
    </w:rPr>
  </w:style>
  <w:style w:type="character" w:customStyle="1" w:styleId="HeaderChar">
    <w:name w:val="Header Char"/>
    <w:basedOn w:val="DefaultParagraphFont"/>
    <w:link w:val="Header"/>
    <w:uiPriority w:val="99"/>
    <w:rsid w:val="00DE2449"/>
    <w:rPr>
      <w:rFonts w:ascii=".VnTime" w:eastAsia="Times New Roman" w:hAnsi=".VnTime" w:cs="Times New Roman"/>
      <w:sz w:val="24"/>
      <w:szCs w:val="24"/>
    </w:rPr>
  </w:style>
  <w:style w:type="paragraph" w:styleId="BodyTextIndent">
    <w:name w:val="Body Text Indent"/>
    <w:basedOn w:val="Normal"/>
    <w:link w:val="BodyTextIndentChar"/>
    <w:rsid w:val="00DE2449"/>
    <w:pPr>
      <w:ind w:firstLine="851"/>
      <w:jc w:val="both"/>
    </w:pPr>
    <w:rPr>
      <w:rFonts w:ascii=".VnTime" w:hAnsi=".VnTime" w:cs="Times New Roman"/>
      <w:sz w:val="27"/>
      <w:szCs w:val="24"/>
      <w:lang w:val="en-AU"/>
    </w:rPr>
  </w:style>
  <w:style w:type="character" w:customStyle="1" w:styleId="BodyTextIndentChar">
    <w:name w:val="Body Text Indent Char"/>
    <w:basedOn w:val="DefaultParagraphFont"/>
    <w:link w:val="BodyTextIndent"/>
    <w:rsid w:val="00DE2449"/>
    <w:rPr>
      <w:rFonts w:ascii=".VnTime" w:eastAsia="Times New Roman" w:hAnsi=".VnTime" w:cs="Times New Roman"/>
      <w:sz w:val="27"/>
      <w:szCs w:val="24"/>
      <w:lang w:val="en-AU"/>
    </w:rPr>
  </w:style>
  <w:style w:type="paragraph" w:styleId="Footer">
    <w:name w:val="footer"/>
    <w:basedOn w:val="Normal"/>
    <w:link w:val="FooterChar"/>
    <w:uiPriority w:val="99"/>
    <w:rsid w:val="00DE2449"/>
    <w:pPr>
      <w:tabs>
        <w:tab w:val="center" w:pos="4320"/>
        <w:tab w:val="right" w:pos="8640"/>
      </w:tabs>
    </w:pPr>
  </w:style>
  <w:style w:type="character" w:customStyle="1" w:styleId="FooterChar">
    <w:name w:val="Footer Char"/>
    <w:basedOn w:val="DefaultParagraphFont"/>
    <w:link w:val="Footer"/>
    <w:uiPriority w:val="99"/>
    <w:rsid w:val="00DE2449"/>
    <w:rPr>
      <w:rFonts w:ascii="Times New Roman" w:eastAsia="Times New Roman" w:hAnsi="Times New Roman" w:cs="Arial"/>
      <w:sz w:val="26"/>
      <w:szCs w:val="26"/>
    </w:rPr>
  </w:style>
  <w:style w:type="character" w:styleId="PageNumber">
    <w:name w:val="page number"/>
    <w:basedOn w:val="DefaultParagraphFont"/>
    <w:rsid w:val="00DE2449"/>
  </w:style>
  <w:style w:type="paragraph" w:styleId="ListParagraph">
    <w:name w:val="List Paragraph"/>
    <w:basedOn w:val="Normal"/>
    <w:link w:val="ListParagraphChar"/>
    <w:uiPriority w:val="34"/>
    <w:qFormat/>
    <w:rsid w:val="00DE2449"/>
    <w:pPr>
      <w:ind w:left="720"/>
    </w:pPr>
  </w:style>
  <w:style w:type="paragraph" w:styleId="NormalWeb">
    <w:name w:val="Normal (Web)"/>
    <w:basedOn w:val="Normal"/>
    <w:uiPriority w:val="99"/>
    <w:unhideWhenUsed/>
    <w:rsid w:val="00DE2449"/>
    <w:pPr>
      <w:spacing w:before="100" w:beforeAutospacing="1" w:after="100" w:afterAutospacing="1"/>
    </w:pPr>
    <w:rPr>
      <w:rFonts w:cs="Times New Roman"/>
      <w:sz w:val="24"/>
      <w:szCs w:val="24"/>
    </w:rPr>
  </w:style>
  <w:style w:type="character" w:customStyle="1" w:styleId="ListParagraphChar">
    <w:name w:val="List Paragraph Char"/>
    <w:link w:val="ListParagraph"/>
    <w:uiPriority w:val="34"/>
    <w:rsid w:val="00FC46CB"/>
    <w:rPr>
      <w:rFonts w:ascii="Times New Roman" w:eastAsia="Times New Roman" w:hAnsi="Times New Roman" w:cs="Arial"/>
      <w:sz w:val="26"/>
      <w:szCs w:val="26"/>
    </w:rPr>
  </w:style>
  <w:style w:type="paragraph" w:styleId="BodyText">
    <w:name w:val="Body Text"/>
    <w:basedOn w:val="Normal"/>
    <w:link w:val="BodyTextChar"/>
    <w:uiPriority w:val="99"/>
    <w:unhideWhenUsed/>
    <w:rsid w:val="00294AE6"/>
    <w:pPr>
      <w:spacing w:after="120"/>
    </w:pPr>
  </w:style>
  <w:style w:type="character" w:customStyle="1" w:styleId="BodyTextChar">
    <w:name w:val="Body Text Char"/>
    <w:basedOn w:val="DefaultParagraphFont"/>
    <w:link w:val="BodyText"/>
    <w:uiPriority w:val="99"/>
    <w:rsid w:val="00294AE6"/>
    <w:rPr>
      <w:rFonts w:ascii="Times New Roman" w:eastAsia="Times New Roman" w:hAnsi="Times New Roman"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TCBS</dc:creator>
  <cp:keywords/>
  <dc:description/>
  <cp:lastModifiedBy>Huong IB. Nguyen Thi</cp:lastModifiedBy>
  <cp:revision>21</cp:revision>
  <cp:lastPrinted>2019-02-19T09:03:00Z</cp:lastPrinted>
  <dcterms:created xsi:type="dcterms:W3CDTF">2019-02-12T07:13:00Z</dcterms:created>
  <dcterms:modified xsi:type="dcterms:W3CDTF">2019-04-16T07:23:00Z</dcterms:modified>
</cp:coreProperties>
</file>