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B5" w:rsidRDefault="00121CB5">
      <w:bookmarkStart w:id="0" w:name="_GoBack"/>
      <w:bookmarkEnd w:id="0"/>
    </w:p>
    <w:p w:rsidR="00421EED" w:rsidRPr="00486E66" w:rsidRDefault="00421EED" w:rsidP="00421EED">
      <w:pPr>
        <w:pStyle w:val="Header"/>
        <w:spacing w:beforeLines="60" w:before="144"/>
        <w:jc w:val="center"/>
        <w:rPr>
          <w:rFonts w:ascii="Arial" w:hAnsi="Arial" w:cs="Arial"/>
          <w:b/>
          <w:sz w:val="40"/>
          <w:szCs w:val="26"/>
          <w:lang w:val="nl-NL"/>
        </w:rPr>
      </w:pPr>
      <w:r w:rsidRPr="00486E66">
        <w:rPr>
          <w:rFonts w:ascii="Arial" w:hAnsi="Arial" w:cs="Arial"/>
          <w:b/>
          <w:sz w:val="40"/>
          <w:szCs w:val="26"/>
          <w:lang w:val="nl-NL"/>
        </w:rPr>
        <w:t xml:space="preserve">THẺ BIỂU QUYẾT SỐ </w:t>
      </w:r>
      <w:r w:rsidR="00486E66">
        <w:rPr>
          <w:rFonts w:ascii="Arial" w:hAnsi="Arial" w:cs="Arial"/>
          <w:b/>
          <w:sz w:val="40"/>
          <w:szCs w:val="26"/>
          <w:lang w:val="nl-NL"/>
        </w:rPr>
        <w:t>2</w:t>
      </w:r>
      <w:r w:rsidRPr="00486E66">
        <w:rPr>
          <w:rFonts w:ascii="Arial" w:hAnsi="Arial" w:cs="Arial"/>
          <w:b/>
          <w:sz w:val="40"/>
          <w:szCs w:val="26"/>
          <w:lang w:val="nl-NL"/>
        </w:rPr>
        <w:t xml:space="preserve"> </w:t>
      </w:r>
    </w:p>
    <w:p w:rsidR="00421EED" w:rsidRPr="00486E66" w:rsidRDefault="00421EED" w:rsidP="00421EED">
      <w:pPr>
        <w:pStyle w:val="Header"/>
        <w:spacing w:beforeLines="60" w:before="144"/>
        <w:jc w:val="center"/>
        <w:rPr>
          <w:rFonts w:ascii="Arial" w:hAnsi="Arial" w:cs="Arial"/>
          <w:b/>
          <w:sz w:val="40"/>
          <w:szCs w:val="26"/>
          <w:lang w:val="nl-NL"/>
        </w:rPr>
      </w:pPr>
      <w:r w:rsidRPr="00486E66">
        <w:rPr>
          <w:rFonts w:ascii="Arial" w:hAnsi="Arial" w:cs="Arial"/>
          <w:b/>
          <w:sz w:val="40"/>
          <w:szCs w:val="26"/>
          <w:lang w:val="nl-NL"/>
        </w:rPr>
        <w:t xml:space="preserve">TẠI ĐẠI HỘI ĐỒNG CỔ ĐÔNG </w:t>
      </w:r>
      <w:r w:rsidR="00C216CA">
        <w:rPr>
          <w:rFonts w:ascii="Arial" w:hAnsi="Arial" w:cs="Arial"/>
          <w:b/>
          <w:sz w:val="40"/>
          <w:szCs w:val="26"/>
          <w:lang w:val="nl-NL"/>
        </w:rPr>
        <w:t>THƯỜNG NIÊN</w:t>
      </w:r>
      <w:r w:rsidR="003614F7">
        <w:rPr>
          <w:rFonts w:ascii="Arial" w:hAnsi="Arial" w:cs="Arial"/>
          <w:b/>
          <w:sz w:val="40"/>
          <w:szCs w:val="26"/>
          <w:lang w:val="nl-NL"/>
        </w:rPr>
        <w:t xml:space="preserve"> NĂM 2019</w:t>
      </w:r>
    </w:p>
    <w:p w:rsidR="00ED4359" w:rsidRPr="00041DC5" w:rsidRDefault="00ED4359" w:rsidP="004447FB">
      <w:pPr>
        <w:pStyle w:val="Header"/>
        <w:spacing w:beforeLines="60" w:before="144"/>
        <w:jc w:val="both"/>
        <w:rPr>
          <w:rFonts w:ascii="Times New Roman" w:hAnsi="Times New Roman"/>
          <w:lang w:val="nl-NL"/>
        </w:rPr>
      </w:pPr>
    </w:p>
    <w:p w:rsidR="00333BB3" w:rsidRPr="00041DC5" w:rsidRDefault="006250E9" w:rsidP="004447FB">
      <w:pPr>
        <w:pStyle w:val="Header"/>
        <w:spacing w:beforeLines="60" w:before="144"/>
        <w:jc w:val="both"/>
        <w:rPr>
          <w:rFonts w:ascii="Times New Roman" w:hAnsi="Times New Roman"/>
          <w:sz w:val="22"/>
          <w:szCs w:val="22"/>
          <w:lang w:val="nl-NL"/>
        </w:rPr>
      </w:pPr>
      <w:r w:rsidRPr="00041DC5">
        <w:rPr>
          <w:rFonts w:ascii="Times New Roman" w:hAnsi="Times New Roman"/>
          <w:sz w:val="22"/>
          <w:szCs w:val="22"/>
          <w:lang w:val="nl-NL"/>
        </w:rPr>
        <w:t xml:space="preserve">Họ tên cổ đông: </w:t>
      </w:r>
      <w:r w:rsidR="001E6A69" w:rsidRPr="00041DC5">
        <w:rPr>
          <w:rFonts w:ascii="Times New Roman" w:hAnsi="Times New Roman"/>
          <w:sz w:val="22"/>
          <w:szCs w:val="22"/>
          <w:lang w:val="nl-NL"/>
        </w:rPr>
        <w:t xml:space="preserve"> </w:t>
      </w:r>
      <w:r w:rsidR="00AD5EDF" w:rsidRPr="00041DC5">
        <w:rPr>
          <w:rFonts w:ascii="Times New Roman" w:hAnsi="Times New Roman"/>
          <w:sz w:val="22"/>
          <w:szCs w:val="22"/>
          <w:lang w:val="nl-NL"/>
        </w:rPr>
        <w:tab/>
      </w:r>
      <w:r w:rsidR="00AD5EDF" w:rsidRPr="00041DC5">
        <w:rPr>
          <w:rFonts w:ascii="Times New Roman" w:hAnsi="Times New Roman"/>
          <w:sz w:val="22"/>
          <w:szCs w:val="22"/>
          <w:lang w:val="nl-NL"/>
        </w:rPr>
        <w:tab/>
        <w:t>STT cổ đông:</w:t>
      </w:r>
    </w:p>
    <w:p w:rsidR="00333BB3" w:rsidRPr="00041DC5" w:rsidRDefault="00ED4359" w:rsidP="004447FB">
      <w:pPr>
        <w:pStyle w:val="Header"/>
        <w:spacing w:beforeLines="60" w:before="144"/>
        <w:jc w:val="both"/>
        <w:rPr>
          <w:rFonts w:ascii="Times New Roman" w:hAnsi="Times New Roman"/>
          <w:b/>
          <w:sz w:val="22"/>
          <w:szCs w:val="22"/>
          <w:lang w:val="nl-NL"/>
        </w:rPr>
      </w:pPr>
      <w:r w:rsidRPr="00041DC5">
        <w:rPr>
          <w:rFonts w:ascii="Times New Roman" w:hAnsi="Times New Roman"/>
          <w:sz w:val="22"/>
          <w:szCs w:val="22"/>
          <w:lang w:val="nl-NL"/>
        </w:rPr>
        <w:t>Tổng s</w:t>
      </w:r>
      <w:r w:rsidR="00333BB3" w:rsidRPr="00041DC5">
        <w:rPr>
          <w:rFonts w:ascii="Times New Roman" w:hAnsi="Times New Roman"/>
          <w:sz w:val="22"/>
          <w:szCs w:val="22"/>
          <w:lang w:val="nl-NL"/>
        </w:rPr>
        <w:t xml:space="preserve">ố </w:t>
      </w:r>
      <w:r w:rsidR="00F64DBD" w:rsidRPr="00041DC5">
        <w:rPr>
          <w:rFonts w:ascii="Times New Roman" w:hAnsi="Times New Roman"/>
          <w:sz w:val="22"/>
          <w:szCs w:val="22"/>
          <w:lang w:val="nl-NL"/>
        </w:rPr>
        <w:t>phiếu</w:t>
      </w:r>
      <w:r w:rsidR="00333BB3" w:rsidRPr="00041DC5">
        <w:rPr>
          <w:rFonts w:ascii="Times New Roman" w:hAnsi="Times New Roman"/>
          <w:sz w:val="22"/>
          <w:szCs w:val="22"/>
          <w:lang w:val="nl-NL"/>
        </w:rPr>
        <w:t xml:space="preserve"> biểu quyết:</w:t>
      </w:r>
      <w:r w:rsidR="006D1D09" w:rsidRPr="00041DC5">
        <w:rPr>
          <w:rFonts w:ascii="Times New Roman" w:hAnsi="Times New Roman"/>
          <w:sz w:val="22"/>
          <w:szCs w:val="22"/>
          <w:lang w:val="nl-NL"/>
        </w:rPr>
        <w:t xml:space="preserve"> </w:t>
      </w:r>
      <w:r w:rsidR="001E6A69" w:rsidRPr="00041DC5">
        <w:rPr>
          <w:rFonts w:ascii="Times New Roman" w:hAnsi="Times New Roman"/>
          <w:b/>
          <w:sz w:val="22"/>
          <w:szCs w:val="22"/>
          <w:lang w:val="nl-NL"/>
        </w:rPr>
        <w:t xml:space="preserve"> </w:t>
      </w:r>
    </w:p>
    <w:p w:rsidR="00AD5EDF" w:rsidRPr="00041DC5" w:rsidRDefault="00AD5EDF" w:rsidP="004447FB">
      <w:pPr>
        <w:pStyle w:val="Header"/>
        <w:spacing w:beforeLines="60" w:before="144"/>
        <w:jc w:val="both"/>
        <w:rPr>
          <w:rFonts w:ascii="Times New Roman" w:hAnsi="Times New Roman"/>
          <w:b/>
          <w:sz w:val="22"/>
          <w:szCs w:val="22"/>
          <w:lang w:val="nl-NL"/>
        </w:rPr>
      </w:pPr>
    </w:p>
    <w:p w:rsidR="00266DE7" w:rsidRPr="00041DC5" w:rsidRDefault="00FA387D" w:rsidP="00266DE7">
      <w:pPr>
        <w:pStyle w:val="BodyText"/>
        <w:numPr>
          <w:ilvl w:val="0"/>
          <w:numId w:val="17"/>
        </w:numPr>
        <w:spacing w:before="120" w:line="288" w:lineRule="auto"/>
        <w:jc w:val="both"/>
        <w:rPr>
          <w:color w:val="FF0000"/>
          <w:sz w:val="22"/>
          <w:szCs w:val="22"/>
          <w:lang w:val="nl-NL"/>
        </w:rPr>
      </w:pPr>
      <w:r w:rsidRPr="00E042A6">
        <w:t>Thông qua Báo cáo của HĐQT đánh giá thực trạng công tác quản lý và kinh doanh của Công ty</w:t>
      </w:r>
      <w:r w:rsidR="00650A0E">
        <w:rPr>
          <w:sz w:val="22"/>
          <w:szCs w:val="22"/>
        </w:rPr>
        <w:t>.</w:t>
      </w:r>
    </w:p>
    <w:p w:rsidR="00266DE7" w:rsidRPr="00041DC5" w:rsidRDefault="00266DE7" w:rsidP="00266DE7">
      <w:pPr>
        <w:pStyle w:val="BodyText"/>
        <w:spacing w:before="120" w:line="360" w:lineRule="auto"/>
        <w:ind w:left="630" w:firstLine="360"/>
        <w:jc w:val="center"/>
        <w:rPr>
          <w:sz w:val="22"/>
          <w:szCs w:val="22"/>
          <w:lang w:val="nl-NL"/>
        </w:rPr>
      </w:pPr>
      <w:r w:rsidRPr="00041DC5">
        <w:rPr>
          <w:sz w:val="22"/>
          <w:szCs w:val="22"/>
          <w:lang w:val="nl-NL"/>
        </w:rPr>
        <w:t xml:space="preserve">Tán thành: </w:t>
      </w:r>
      <w:r w:rsidRPr="00041DC5">
        <w:rPr>
          <w:sz w:val="22"/>
          <w:szCs w:val="22"/>
          <w:lang w:val="nl-NL"/>
        </w:rPr>
        <w:tab/>
      </w:r>
      <w:r w:rsidRPr="00041DC5">
        <w:rPr>
          <w:sz w:val="22"/>
          <w:szCs w:val="22"/>
          <w:lang w:val="nl-NL"/>
        </w:rPr>
        <w:tab/>
        <w:t xml:space="preserve"> </w:t>
      </w:r>
      <w:r w:rsidRPr="00041DC5">
        <w:rPr>
          <w:sz w:val="22"/>
          <w:szCs w:val="22"/>
          <w:lang w:val="nl-NL"/>
        </w:rPr>
        <w:tab/>
        <w:t>Không tán thành:</w:t>
      </w:r>
      <w:r w:rsidRPr="00041DC5">
        <w:rPr>
          <w:sz w:val="22"/>
          <w:szCs w:val="22"/>
          <w:lang w:val="nl-NL"/>
        </w:rPr>
        <w:tab/>
        <w:t xml:space="preserve">      </w:t>
      </w:r>
      <w:r w:rsidRPr="00041DC5">
        <w:rPr>
          <w:sz w:val="22"/>
          <w:szCs w:val="22"/>
          <w:lang w:val="nl-NL"/>
        </w:rPr>
        <w:tab/>
        <w:t>Không có ý kiến:</w:t>
      </w:r>
    </w:p>
    <w:p w:rsidR="00266DE7" w:rsidRPr="00041DC5" w:rsidRDefault="00266DE7" w:rsidP="00266DE7">
      <w:pPr>
        <w:pStyle w:val="BodyText"/>
        <w:numPr>
          <w:ilvl w:val="0"/>
          <w:numId w:val="17"/>
        </w:numPr>
        <w:spacing w:before="120" w:line="288" w:lineRule="auto"/>
        <w:ind w:left="714" w:hanging="357"/>
        <w:jc w:val="both"/>
        <w:rPr>
          <w:sz w:val="22"/>
          <w:szCs w:val="22"/>
          <w:lang w:val="nl-NL"/>
        </w:rPr>
      </w:pPr>
      <w:r w:rsidRPr="00041DC5">
        <w:rPr>
          <w:sz w:val="22"/>
          <w:szCs w:val="22"/>
          <w:lang w:val="nl-NL"/>
        </w:rPr>
        <w:t xml:space="preserve"> </w:t>
      </w:r>
      <w:r w:rsidR="00FA387D" w:rsidRPr="00E042A6">
        <w:t>Thông qua Báo cáo của Ban Kiểm soát về quản lý công ty, Tổng Giám đốc</w:t>
      </w:r>
      <w:r w:rsidRPr="00041DC5">
        <w:rPr>
          <w:sz w:val="22"/>
          <w:szCs w:val="22"/>
          <w:lang w:val="nl-NL"/>
        </w:rPr>
        <w:t xml:space="preserve">.    </w:t>
      </w:r>
    </w:p>
    <w:p w:rsidR="00266DE7" w:rsidRPr="00041DC5" w:rsidRDefault="00266DE7" w:rsidP="00266DE7">
      <w:pPr>
        <w:pStyle w:val="BodyText"/>
        <w:spacing w:before="120" w:line="360" w:lineRule="auto"/>
        <w:ind w:left="720"/>
        <w:jc w:val="center"/>
        <w:rPr>
          <w:sz w:val="22"/>
          <w:szCs w:val="22"/>
          <w:lang w:val="nl-NL"/>
        </w:rPr>
      </w:pPr>
      <w:r w:rsidRPr="00041DC5">
        <w:rPr>
          <w:sz w:val="22"/>
          <w:szCs w:val="22"/>
          <w:lang w:val="nl-NL"/>
        </w:rPr>
        <w:t xml:space="preserve">Tán thành: </w:t>
      </w:r>
      <w:r w:rsidRPr="00041DC5">
        <w:rPr>
          <w:sz w:val="22"/>
          <w:szCs w:val="22"/>
          <w:lang w:val="nl-NL"/>
        </w:rPr>
        <w:tab/>
      </w:r>
      <w:r w:rsidRPr="00041DC5">
        <w:rPr>
          <w:sz w:val="22"/>
          <w:szCs w:val="22"/>
          <w:lang w:val="nl-NL"/>
        </w:rPr>
        <w:tab/>
        <w:t xml:space="preserve"> </w:t>
      </w:r>
      <w:r w:rsidRPr="00041DC5">
        <w:rPr>
          <w:sz w:val="22"/>
          <w:szCs w:val="22"/>
          <w:lang w:val="nl-NL"/>
        </w:rPr>
        <w:tab/>
        <w:t>Không tán thành:</w:t>
      </w:r>
      <w:r w:rsidRPr="00041DC5">
        <w:rPr>
          <w:sz w:val="22"/>
          <w:szCs w:val="22"/>
          <w:lang w:val="nl-NL"/>
        </w:rPr>
        <w:tab/>
        <w:t xml:space="preserve">      </w:t>
      </w:r>
      <w:r w:rsidRPr="00041DC5">
        <w:rPr>
          <w:sz w:val="22"/>
          <w:szCs w:val="22"/>
          <w:lang w:val="nl-NL"/>
        </w:rPr>
        <w:tab/>
        <w:t>Không có ý kiến:</w:t>
      </w:r>
    </w:p>
    <w:p w:rsidR="00D66E07" w:rsidRPr="00493DB3" w:rsidRDefault="00FA387D" w:rsidP="00D66E07">
      <w:pPr>
        <w:numPr>
          <w:ilvl w:val="0"/>
          <w:numId w:val="17"/>
        </w:numPr>
        <w:jc w:val="both"/>
      </w:pPr>
      <w:r w:rsidRPr="00E042A6">
        <w:t xml:space="preserve">Thông qua Báo cáo tài chính năm 2018 và Báo cáo an toàn tài chính năm 2018 đã được kiểm toán và phương án phân phối lợi nhuận năm 2018 theo nội dung Tờ </w:t>
      </w:r>
      <w:r w:rsidRPr="00E042A6">
        <w:rPr>
          <w:highlight w:val="yellow"/>
        </w:rPr>
        <w:t xml:space="preserve">trình số         ngày     </w:t>
      </w:r>
      <w:r w:rsidR="00D66E07" w:rsidRPr="00493DB3">
        <w:t>:</w:t>
      </w:r>
    </w:p>
    <w:p w:rsidR="006E1CDD" w:rsidRPr="006E1CDD" w:rsidRDefault="00260AFF" w:rsidP="006E1CDD">
      <w:pPr>
        <w:pStyle w:val="BodyText"/>
        <w:spacing w:before="120" w:line="360" w:lineRule="auto"/>
        <w:ind w:left="720"/>
        <w:jc w:val="center"/>
        <w:rPr>
          <w:sz w:val="22"/>
          <w:szCs w:val="22"/>
          <w:lang w:val="nl-NL"/>
        </w:rPr>
      </w:pPr>
      <w:r w:rsidRPr="00041DC5">
        <w:rPr>
          <w:sz w:val="22"/>
          <w:szCs w:val="22"/>
          <w:lang w:val="nl-NL"/>
        </w:rPr>
        <w:t xml:space="preserve">Tán thành: </w:t>
      </w:r>
      <w:r w:rsidRPr="00041DC5">
        <w:rPr>
          <w:sz w:val="22"/>
          <w:szCs w:val="22"/>
          <w:lang w:val="nl-NL"/>
        </w:rPr>
        <w:tab/>
      </w:r>
      <w:r w:rsidRPr="00041DC5">
        <w:rPr>
          <w:sz w:val="22"/>
          <w:szCs w:val="22"/>
          <w:lang w:val="nl-NL"/>
        </w:rPr>
        <w:tab/>
        <w:t xml:space="preserve"> </w:t>
      </w:r>
      <w:r w:rsidRPr="00041DC5">
        <w:rPr>
          <w:sz w:val="22"/>
          <w:szCs w:val="22"/>
          <w:lang w:val="nl-NL"/>
        </w:rPr>
        <w:tab/>
        <w:t>Không tán thành:</w:t>
      </w:r>
      <w:r w:rsidRPr="00041DC5">
        <w:rPr>
          <w:sz w:val="22"/>
          <w:szCs w:val="22"/>
          <w:lang w:val="nl-NL"/>
        </w:rPr>
        <w:tab/>
        <w:t xml:space="preserve">      </w:t>
      </w:r>
      <w:r w:rsidRPr="00041DC5">
        <w:rPr>
          <w:sz w:val="22"/>
          <w:szCs w:val="22"/>
          <w:lang w:val="nl-NL"/>
        </w:rPr>
        <w:tab/>
        <w:t>Không có ý kiến:</w:t>
      </w:r>
    </w:p>
    <w:p w:rsidR="006E1CDD" w:rsidRPr="006E1CDD" w:rsidRDefault="006E1CDD" w:rsidP="00FA387D">
      <w:pPr>
        <w:numPr>
          <w:ilvl w:val="0"/>
          <w:numId w:val="17"/>
        </w:numPr>
        <w:jc w:val="both"/>
        <w:rPr>
          <w:sz w:val="22"/>
          <w:szCs w:val="22"/>
          <w:lang w:val="nl-NL"/>
        </w:rPr>
      </w:pPr>
      <w:r w:rsidRPr="00E042A6">
        <w:t xml:space="preserve">Thông qua việc lựa chọn Công ty TNHH Ernst &amp; Young Việt Nam Việt Nam là đơn vị  kiểm toán độc lập để kiểm toán các báo cáo tài chính của TCC năm 2019 theo nội dung Tờ </w:t>
      </w:r>
      <w:r w:rsidRPr="00E042A6">
        <w:rPr>
          <w:highlight w:val="yellow"/>
        </w:rPr>
        <w:t xml:space="preserve">trình số         ngày     </w:t>
      </w:r>
    </w:p>
    <w:p w:rsidR="00FA387D" w:rsidRPr="00FA387D" w:rsidRDefault="00FA387D" w:rsidP="00FA387D">
      <w:pPr>
        <w:numPr>
          <w:ilvl w:val="0"/>
          <w:numId w:val="17"/>
        </w:numPr>
        <w:jc w:val="both"/>
        <w:rPr>
          <w:sz w:val="22"/>
          <w:szCs w:val="22"/>
          <w:lang w:val="nl-NL"/>
        </w:rPr>
      </w:pPr>
      <w:r w:rsidRPr="00E042A6">
        <w:t>Thông qua việc Ủy quyền cho HĐQT phê duyệt các giao dịch đầu tư hoặc bán số t</w:t>
      </w:r>
      <w:r>
        <w:t>ài sản có giá trị  bằng hoặc nhỏ</w:t>
      </w:r>
      <w:r w:rsidRPr="00E042A6">
        <w:t xml:space="preserve"> hơn 40% tổng giá trị tài sản được ghi trong báo cáo tài chính gần nhất của Công ty (không bao gồm tài sản của nhà đầu tư ủy thác và các Quỹ do Công ty quản lý) và Giao HĐQT ban hành Qui định thẩm quyền phê duyệt giao dịch sử dụng tổng giá trị tài sản đảm bảo nguyên tắc quản trị rủi ro cho TCC theo nội dung Tờ </w:t>
      </w:r>
      <w:r w:rsidRPr="00E042A6">
        <w:rPr>
          <w:highlight w:val="yellow"/>
        </w:rPr>
        <w:t xml:space="preserve">trình số         ngày     </w:t>
      </w:r>
      <w:r w:rsidRPr="00E042A6">
        <w:t>.</w:t>
      </w:r>
    </w:p>
    <w:p w:rsidR="00FA387D" w:rsidRPr="00FA387D" w:rsidRDefault="00FA387D" w:rsidP="00FA387D">
      <w:pPr>
        <w:ind w:left="720"/>
        <w:jc w:val="both"/>
        <w:rPr>
          <w:sz w:val="22"/>
          <w:szCs w:val="22"/>
          <w:lang w:val="nl-NL"/>
        </w:rPr>
      </w:pPr>
    </w:p>
    <w:p w:rsidR="00FA387D" w:rsidRDefault="00FA387D" w:rsidP="00FA387D">
      <w:pPr>
        <w:ind w:left="720" w:firstLine="720"/>
        <w:jc w:val="both"/>
        <w:rPr>
          <w:sz w:val="22"/>
          <w:szCs w:val="22"/>
          <w:lang w:val="nl-NL"/>
        </w:rPr>
      </w:pPr>
      <w:r w:rsidRPr="00041DC5">
        <w:rPr>
          <w:sz w:val="22"/>
          <w:szCs w:val="22"/>
          <w:lang w:val="nl-NL"/>
        </w:rPr>
        <w:t xml:space="preserve">Tán thành: </w:t>
      </w:r>
      <w:r w:rsidRPr="00041DC5">
        <w:rPr>
          <w:sz w:val="22"/>
          <w:szCs w:val="22"/>
          <w:lang w:val="nl-NL"/>
        </w:rPr>
        <w:tab/>
      </w:r>
      <w:r w:rsidRPr="00041DC5">
        <w:rPr>
          <w:sz w:val="22"/>
          <w:szCs w:val="22"/>
          <w:lang w:val="nl-NL"/>
        </w:rPr>
        <w:tab/>
        <w:t xml:space="preserve"> </w:t>
      </w:r>
      <w:r w:rsidRPr="00041DC5">
        <w:rPr>
          <w:sz w:val="22"/>
          <w:szCs w:val="22"/>
          <w:lang w:val="nl-NL"/>
        </w:rPr>
        <w:tab/>
        <w:t>Không tán thành:</w:t>
      </w:r>
      <w:r w:rsidRPr="00041DC5">
        <w:rPr>
          <w:sz w:val="22"/>
          <w:szCs w:val="22"/>
          <w:lang w:val="nl-NL"/>
        </w:rPr>
        <w:tab/>
        <w:t xml:space="preserve">      </w:t>
      </w:r>
      <w:r w:rsidRPr="00041DC5">
        <w:rPr>
          <w:sz w:val="22"/>
          <w:szCs w:val="22"/>
          <w:lang w:val="nl-NL"/>
        </w:rPr>
        <w:tab/>
        <w:t>Không có ý kiến:</w:t>
      </w:r>
    </w:p>
    <w:p w:rsidR="00FA387D" w:rsidRDefault="00FA387D" w:rsidP="00D66E07">
      <w:pPr>
        <w:pStyle w:val="BodyText"/>
        <w:spacing w:before="120" w:line="360" w:lineRule="auto"/>
        <w:ind w:left="720"/>
        <w:jc w:val="right"/>
        <w:rPr>
          <w:b/>
          <w:sz w:val="22"/>
          <w:szCs w:val="22"/>
          <w:lang w:val="nl-NL"/>
        </w:rPr>
      </w:pPr>
    </w:p>
    <w:p w:rsidR="00FA387D" w:rsidRDefault="00FA387D" w:rsidP="00D66E07">
      <w:pPr>
        <w:pStyle w:val="BodyText"/>
        <w:spacing w:before="120" w:line="360" w:lineRule="auto"/>
        <w:ind w:left="720"/>
        <w:jc w:val="right"/>
        <w:rPr>
          <w:b/>
          <w:sz w:val="22"/>
          <w:szCs w:val="22"/>
          <w:lang w:val="nl-NL"/>
        </w:rPr>
      </w:pPr>
    </w:p>
    <w:p w:rsidR="00D66E07" w:rsidRPr="00D66E07" w:rsidRDefault="00D66E07" w:rsidP="00D66E07">
      <w:pPr>
        <w:pStyle w:val="BodyText"/>
        <w:spacing w:before="120" w:line="360" w:lineRule="auto"/>
        <w:ind w:left="720"/>
        <w:jc w:val="right"/>
        <w:rPr>
          <w:b/>
          <w:sz w:val="22"/>
          <w:szCs w:val="22"/>
          <w:lang w:val="nl-NL"/>
        </w:rPr>
      </w:pPr>
      <w:r w:rsidRPr="00D66E07">
        <w:rPr>
          <w:b/>
          <w:sz w:val="22"/>
          <w:szCs w:val="22"/>
          <w:lang w:val="nl-NL"/>
        </w:rPr>
        <w:t>CỔ ĐÔNG KÝ VÀ GHI RÕ HỌ TÊN</w:t>
      </w:r>
    </w:p>
    <w:sectPr w:rsidR="00D66E07" w:rsidRPr="00D66E07" w:rsidSect="00D66E07">
      <w:footerReference w:type="default" r:id="rId8"/>
      <w:pgSz w:w="12240" w:h="15840" w:code="1"/>
      <w:pgMar w:top="864" w:right="1260" w:bottom="432" w:left="81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82" w:rsidRDefault="00872D82">
      <w:r>
        <w:separator/>
      </w:r>
    </w:p>
  </w:endnote>
  <w:endnote w:type="continuationSeparator" w:id="0">
    <w:p w:rsidR="00872D82" w:rsidRDefault="0087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D3" w:rsidRDefault="00B628D3">
    <w:pPr>
      <w:pStyle w:val="Footer"/>
      <w:jc w:val="center"/>
    </w:pPr>
    <w:r>
      <w:fldChar w:fldCharType="begin"/>
    </w:r>
    <w:r>
      <w:instrText xml:space="preserve"> PAGE   \* MERGEFORMAT </w:instrText>
    </w:r>
    <w:r>
      <w:fldChar w:fldCharType="separate"/>
    </w:r>
    <w:r w:rsidR="00845ED2">
      <w:rPr>
        <w:noProof/>
      </w:rPr>
      <w:t>1</w:t>
    </w:r>
    <w:r>
      <w:fldChar w:fldCharType="end"/>
    </w:r>
  </w:p>
  <w:p w:rsidR="00B628D3" w:rsidRDefault="00B62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82" w:rsidRDefault="00872D82">
      <w:r>
        <w:separator/>
      </w:r>
    </w:p>
  </w:footnote>
  <w:footnote w:type="continuationSeparator" w:id="0">
    <w:p w:rsidR="00872D82" w:rsidRDefault="0087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641"/>
    <w:multiLevelType w:val="multilevel"/>
    <w:tmpl w:val="96BAE9D6"/>
    <w:lvl w:ilvl="0">
      <w:start w:val="1"/>
      <w:numFmt w:val="decimal"/>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A35336"/>
    <w:multiLevelType w:val="hybridMultilevel"/>
    <w:tmpl w:val="D74AEB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301242"/>
    <w:multiLevelType w:val="hybridMultilevel"/>
    <w:tmpl w:val="0FE416FC"/>
    <w:lvl w:ilvl="0" w:tplc="34B431EA">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9C0C72"/>
    <w:multiLevelType w:val="hybridMultilevel"/>
    <w:tmpl w:val="9280DE50"/>
    <w:lvl w:ilvl="0" w:tplc="2D9C0DD8">
      <w:start w:val="1"/>
      <w:numFmt w:val="lowerLetter"/>
      <w:lvlText w:val="(%1)"/>
      <w:lvlJc w:val="left"/>
      <w:pPr>
        <w:ind w:left="1350" w:hanging="360"/>
      </w:pPr>
      <w:rPr>
        <w:rFonts w:ascii="Times New Roman" w:hAnsi="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B19141A"/>
    <w:multiLevelType w:val="hybridMultilevel"/>
    <w:tmpl w:val="55AE812A"/>
    <w:lvl w:ilvl="0" w:tplc="2C0E7C46">
      <w:start w:val="9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58B1"/>
    <w:multiLevelType w:val="hybridMultilevel"/>
    <w:tmpl w:val="9C305934"/>
    <w:lvl w:ilvl="0" w:tplc="329CFDBE">
      <w:start w:val="1"/>
      <w:numFmt w:val="decimal"/>
      <w:lvlText w:val="%1."/>
      <w:lvlJc w:val="left"/>
      <w:pPr>
        <w:tabs>
          <w:tab w:val="num" w:pos="537"/>
        </w:tabs>
        <w:ind w:left="537" w:hanging="357"/>
      </w:pPr>
      <w:rPr>
        <w:rFonts w:hint="default"/>
        <w:b w:val="0"/>
        <w:i w:val="0"/>
      </w:rPr>
    </w:lvl>
    <w:lvl w:ilvl="1" w:tplc="B93A89E4">
      <w:start w:val="1"/>
      <w:numFmt w:val="lowerRoman"/>
      <w:lvlText w:val="(%2)"/>
      <w:lvlJc w:val="left"/>
      <w:pPr>
        <w:tabs>
          <w:tab w:val="num" w:pos="720"/>
        </w:tabs>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33DC35F0"/>
    <w:multiLevelType w:val="hybridMultilevel"/>
    <w:tmpl w:val="CFE41C8A"/>
    <w:lvl w:ilvl="0" w:tplc="8410C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52F5E"/>
    <w:multiLevelType w:val="multilevel"/>
    <w:tmpl w:val="68E21580"/>
    <w:lvl w:ilvl="0">
      <w:start w:val="1"/>
      <w:numFmt w:val="decimal"/>
      <w:lvlText w:val="%1."/>
      <w:lvlJc w:val="left"/>
      <w:pPr>
        <w:ind w:left="688"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2224"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368" w:hanging="108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5264" w:hanging="1800"/>
      </w:pPr>
      <w:rPr>
        <w:rFonts w:hint="default"/>
      </w:rPr>
    </w:lvl>
  </w:abstractNum>
  <w:abstractNum w:abstractNumId="8" w15:restartNumberingAfterBreak="0">
    <w:nsid w:val="4AB3038C"/>
    <w:multiLevelType w:val="hybridMultilevel"/>
    <w:tmpl w:val="858CB156"/>
    <w:lvl w:ilvl="0" w:tplc="9ABA5D74">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B2502C0"/>
    <w:multiLevelType w:val="hybridMultilevel"/>
    <w:tmpl w:val="84844E18"/>
    <w:lvl w:ilvl="0" w:tplc="87288494">
      <w:numFmt w:val="bullet"/>
      <w:lvlText w:val="-"/>
      <w:lvlJc w:val="left"/>
      <w:pPr>
        <w:tabs>
          <w:tab w:val="num" w:pos="720"/>
        </w:tabs>
        <w:ind w:left="720" w:hanging="360"/>
      </w:pPr>
      <w:rPr>
        <w:rFonts w:ascii="Times New Roman" w:eastAsia="Times New Roman" w:hAnsi="Times New Roman" w:cs="Times New Roman" w:hint="default"/>
        <w:sz w:val="2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30539"/>
    <w:multiLevelType w:val="multilevel"/>
    <w:tmpl w:val="83385EE4"/>
    <w:lvl w:ilvl="0">
      <w:start w:val="1"/>
      <w:numFmt w:val="decimal"/>
      <w:lvlText w:val="%1."/>
      <w:lvlJc w:val="left"/>
      <w:pPr>
        <w:tabs>
          <w:tab w:val="num" w:pos="720"/>
        </w:tabs>
        <w:ind w:left="720" w:hanging="360"/>
      </w:pPr>
      <w:rPr>
        <w:rFonts w:ascii="Times New Roman" w:hAnsi="Times New Roman"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D352171"/>
    <w:multiLevelType w:val="hybridMultilevel"/>
    <w:tmpl w:val="658C1E2E"/>
    <w:lvl w:ilvl="0" w:tplc="04090017">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3C0431A"/>
    <w:multiLevelType w:val="multilevel"/>
    <w:tmpl w:val="23B643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7E5EE2"/>
    <w:multiLevelType w:val="multilevel"/>
    <w:tmpl w:val="827EBE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577A1A23"/>
    <w:multiLevelType w:val="multilevel"/>
    <w:tmpl w:val="69507BDE"/>
    <w:lvl w:ilvl="0">
      <w:start w:val="1"/>
      <w:numFmt w:val="decimal"/>
      <w:lvlText w:val="%1."/>
      <w:lvlJc w:val="left"/>
      <w:pPr>
        <w:ind w:left="720" w:hanging="360"/>
      </w:pPr>
      <w:rPr>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92342A"/>
    <w:multiLevelType w:val="hybridMultilevel"/>
    <w:tmpl w:val="9A80CA62"/>
    <w:lvl w:ilvl="0" w:tplc="A36A9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1E34B4"/>
    <w:multiLevelType w:val="hybridMultilevel"/>
    <w:tmpl w:val="0D1ADE90"/>
    <w:lvl w:ilvl="0" w:tplc="D5B61F0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726E1"/>
    <w:multiLevelType w:val="multilevel"/>
    <w:tmpl w:val="98A22418"/>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4628F2"/>
    <w:multiLevelType w:val="multilevel"/>
    <w:tmpl w:val="3F9A886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875AB6"/>
    <w:multiLevelType w:val="hybridMultilevel"/>
    <w:tmpl w:val="DBE0B53E"/>
    <w:lvl w:ilvl="0" w:tplc="9BF81948">
      <w:start w:val="1"/>
      <w:numFmt w:val="lowerRoman"/>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A46FD3"/>
    <w:multiLevelType w:val="hybridMultilevel"/>
    <w:tmpl w:val="945AD6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
  </w:num>
  <w:num w:numId="3">
    <w:abstractNumId w:val="16"/>
  </w:num>
  <w:num w:numId="4">
    <w:abstractNumId w:val="9"/>
  </w:num>
  <w:num w:numId="5">
    <w:abstractNumId w:val="8"/>
  </w:num>
  <w:num w:numId="6">
    <w:abstractNumId w:val="5"/>
  </w:num>
  <w:num w:numId="7">
    <w:abstractNumId w:val="10"/>
  </w:num>
  <w:num w:numId="8">
    <w:abstractNumId w:val="17"/>
  </w:num>
  <w:num w:numId="9">
    <w:abstractNumId w:val="7"/>
  </w:num>
  <w:num w:numId="10">
    <w:abstractNumId w:val="20"/>
  </w:num>
  <w:num w:numId="11">
    <w:abstractNumId w:val="12"/>
  </w:num>
  <w:num w:numId="12">
    <w:abstractNumId w:val="18"/>
  </w:num>
  <w:num w:numId="13">
    <w:abstractNumId w:val="14"/>
  </w:num>
  <w:num w:numId="14">
    <w:abstractNumId w:val="13"/>
  </w:num>
  <w:num w:numId="15">
    <w:abstractNumId w:val="15"/>
  </w:num>
  <w:num w:numId="16">
    <w:abstractNumId w:val="2"/>
  </w:num>
  <w:num w:numId="17">
    <w:abstractNumId w:val="0"/>
  </w:num>
  <w:num w:numId="18">
    <w:abstractNumId w:val="19"/>
  </w:num>
  <w:num w:numId="19">
    <w:abstractNumId w:val="3"/>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D1"/>
    <w:rsid w:val="00003504"/>
    <w:rsid w:val="00010098"/>
    <w:rsid w:val="00040B37"/>
    <w:rsid w:val="00041DC5"/>
    <w:rsid w:val="00054528"/>
    <w:rsid w:val="0006506B"/>
    <w:rsid w:val="00083023"/>
    <w:rsid w:val="00087B3F"/>
    <w:rsid w:val="0009146C"/>
    <w:rsid w:val="00095BEF"/>
    <w:rsid w:val="000A2158"/>
    <w:rsid w:val="000B63A4"/>
    <w:rsid w:val="000C7A2E"/>
    <w:rsid w:val="0010368A"/>
    <w:rsid w:val="00104C4F"/>
    <w:rsid w:val="00110FAC"/>
    <w:rsid w:val="001118EC"/>
    <w:rsid w:val="00121CB5"/>
    <w:rsid w:val="00124E5B"/>
    <w:rsid w:val="0013392B"/>
    <w:rsid w:val="00145871"/>
    <w:rsid w:val="0014698E"/>
    <w:rsid w:val="00146E22"/>
    <w:rsid w:val="00160DF6"/>
    <w:rsid w:val="00163B80"/>
    <w:rsid w:val="00172928"/>
    <w:rsid w:val="00173B20"/>
    <w:rsid w:val="001806FD"/>
    <w:rsid w:val="0019026A"/>
    <w:rsid w:val="00190316"/>
    <w:rsid w:val="00193E2D"/>
    <w:rsid w:val="00195A30"/>
    <w:rsid w:val="001A2A22"/>
    <w:rsid w:val="001C1CD8"/>
    <w:rsid w:val="001C3BEB"/>
    <w:rsid w:val="001C65EA"/>
    <w:rsid w:val="001E18B4"/>
    <w:rsid w:val="001E6A69"/>
    <w:rsid w:val="001F4B19"/>
    <w:rsid w:val="00201D24"/>
    <w:rsid w:val="00221E15"/>
    <w:rsid w:val="0022467B"/>
    <w:rsid w:val="002259A6"/>
    <w:rsid w:val="002431DD"/>
    <w:rsid w:val="0025056C"/>
    <w:rsid w:val="00257A19"/>
    <w:rsid w:val="00257B57"/>
    <w:rsid w:val="00260AFF"/>
    <w:rsid w:val="00261F95"/>
    <w:rsid w:val="00266DE7"/>
    <w:rsid w:val="00266E6B"/>
    <w:rsid w:val="002756F9"/>
    <w:rsid w:val="00275EB3"/>
    <w:rsid w:val="00276554"/>
    <w:rsid w:val="00286FFF"/>
    <w:rsid w:val="002909D8"/>
    <w:rsid w:val="00297C64"/>
    <w:rsid w:val="002A080B"/>
    <w:rsid w:val="002B3F46"/>
    <w:rsid w:val="002D2AE8"/>
    <w:rsid w:val="002D4352"/>
    <w:rsid w:val="002D5601"/>
    <w:rsid w:val="00300ABE"/>
    <w:rsid w:val="0031737D"/>
    <w:rsid w:val="00322E1E"/>
    <w:rsid w:val="00325AB3"/>
    <w:rsid w:val="00333BB3"/>
    <w:rsid w:val="003614F7"/>
    <w:rsid w:val="003760CD"/>
    <w:rsid w:val="00382E85"/>
    <w:rsid w:val="00384A6E"/>
    <w:rsid w:val="00390689"/>
    <w:rsid w:val="003A107C"/>
    <w:rsid w:val="003A243A"/>
    <w:rsid w:val="003B0C6B"/>
    <w:rsid w:val="003D0471"/>
    <w:rsid w:val="003D24D8"/>
    <w:rsid w:val="003D4D95"/>
    <w:rsid w:val="003E74BF"/>
    <w:rsid w:val="003F0A2A"/>
    <w:rsid w:val="003F1632"/>
    <w:rsid w:val="003F29D8"/>
    <w:rsid w:val="0040716E"/>
    <w:rsid w:val="0041689A"/>
    <w:rsid w:val="00421171"/>
    <w:rsid w:val="00421EED"/>
    <w:rsid w:val="004232FD"/>
    <w:rsid w:val="0042359A"/>
    <w:rsid w:val="00424156"/>
    <w:rsid w:val="00430FA4"/>
    <w:rsid w:val="00430FB8"/>
    <w:rsid w:val="004447FB"/>
    <w:rsid w:val="00447067"/>
    <w:rsid w:val="00454530"/>
    <w:rsid w:val="00463354"/>
    <w:rsid w:val="00473F70"/>
    <w:rsid w:val="00476AAE"/>
    <w:rsid w:val="00482E18"/>
    <w:rsid w:val="00486E66"/>
    <w:rsid w:val="004C0B8A"/>
    <w:rsid w:val="004C13BE"/>
    <w:rsid w:val="004C3C75"/>
    <w:rsid w:val="004D1D7F"/>
    <w:rsid w:val="004D3B0C"/>
    <w:rsid w:val="005018C9"/>
    <w:rsid w:val="005038B8"/>
    <w:rsid w:val="00514D3A"/>
    <w:rsid w:val="00524283"/>
    <w:rsid w:val="0052720B"/>
    <w:rsid w:val="005405BA"/>
    <w:rsid w:val="005541ED"/>
    <w:rsid w:val="00557A13"/>
    <w:rsid w:val="00563081"/>
    <w:rsid w:val="00571E0F"/>
    <w:rsid w:val="0057257A"/>
    <w:rsid w:val="005808BF"/>
    <w:rsid w:val="005832F3"/>
    <w:rsid w:val="005A371C"/>
    <w:rsid w:val="005B4B3E"/>
    <w:rsid w:val="005B7839"/>
    <w:rsid w:val="005C5A8A"/>
    <w:rsid w:val="005D2045"/>
    <w:rsid w:val="005D547D"/>
    <w:rsid w:val="005E05E0"/>
    <w:rsid w:val="005E3B56"/>
    <w:rsid w:val="005E43F8"/>
    <w:rsid w:val="005E4412"/>
    <w:rsid w:val="00606E9F"/>
    <w:rsid w:val="00614861"/>
    <w:rsid w:val="00622B2C"/>
    <w:rsid w:val="006250E9"/>
    <w:rsid w:val="00630995"/>
    <w:rsid w:val="00637813"/>
    <w:rsid w:val="006403CF"/>
    <w:rsid w:val="00650A0E"/>
    <w:rsid w:val="006546B3"/>
    <w:rsid w:val="0068055A"/>
    <w:rsid w:val="00686403"/>
    <w:rsid w:val="0069799F"/>
    <w:rsid w:val="006B47D5"/>
    <w:rsid w:val="006B4C5C"/>
    <w:rsid w:val="006B5F5D"/>
    <w:rsid w:val="006C4E3D"/>
    <w:rsid w:val="006C67D9"/>
    <w:rsid w:val="006D1D09"/>
    <w:rsid w:val="006E1CDD"/>
    <w:rsid w:val="006E3313"/>
    <w:rsid w:val="006F1C2B"/>
    <w:rsid w:val="00723F14"/>
    <w:rsid w:val="00724006"/>
    <w:rsid w:val="00731232"/>
    <w:rsid w:val="00742964"/>
    <w:rsid w:val="00793E5C"/>
    <w:rsid w:val="007A1806"/>
    <w:rsid w:val="007A7F83"/>
    <w:rsid w:val="007B035B"/>
    <w:rsid w:val="007B51BA"/>
    <w:rsid w:val="007B66B5"/>
    <w:rsid w:val="007C1B2E"/>
    <w:rsid w:val="007C4C1E"/>
    <w:rsid w:val="007D788C"/>
    <w:rsid w:val="007E1163"/>
    <w:rsid w:val="007E23C2"/>
    <w:rsid w:val="007E2500"/>
    <w:rsid w:val="008022E5"/>
    <w:rsid w:val="00804923"/>
    <w:rsid w:val="008116A4"/>
    <w:rsid w:val="00812022"/>
    <w:rsid w:val="00813565"/>
    <w:rsid w:val="008164DD"/>
    <w:rsid w:val="00817E16"/>
    <w:rsid w:val="008337E2"/>
    <w:rsid w:val="00845ED2"/>
    <w:rsid w:val="0086380C"/>
    <w:rsid w:val="00872D82"/>
    <w:rsid w:val="008738A2"/>
    <w:rsid w:val="008A712A"/>
    <w:rsid w:val="008D089C"/>
    <w:rsid w:val="008E6293"/>
    <w:rsid w:val="00900656"/>
    <w:rsid w:val="00920586"/>
    <w:rsid w:val="00921EED"/>
    <w:rsid w:val="00925ACD"/>
    <w:rsid w:val="0093063D"/>
    <w:rsid w:val="00947A65"/>
    <w:rsid w:val="00950000"/>
    <w:rsid w:val="00965686"/>
    <w:rsid w:val="0097308B"/>
    <w:rsid w:val="00987D98"/>
    <w:rsid w:val="009974F5"/>
    <w:rsid w:val="009A384A"/>
    <w:rsid w:val="009B6B37"/>
    <w:rsid w:val="009C5625"/>
    <w:rsid w:val="009D04F0"/>
    <w:rsid w:val="009D1B57"/>
    <w:rsid w:val="009D56B2"/>
    <w:rsid w:val="009E5523"/>
    <w:rsid w:val="009F0A7C"/>
    <w:rsid w:val="009F644A"/>
    <w:rsid w:val="00A06598"/>
    <w:rsid w:val="00A17FFB"/>
    <w:rsid w:val="00A33B69"/>
    <w:rsid w:val="00A56E59"/>
    <w:rsid w:val="00A5792E"/>
    <w:rsid w:val="00A63860"/>
    <w:rsid w:val="00A82302"/>
    <w:rsid w:val="00A91F95"/>
    <w:rsid w:val="00AB0545"/>
    <w:rsid w:val="00AB484C"/>
    <w:rsid w:val="00AB79B6"/>
    <w:rsid w:val="00AC3818"/>
    <w:rsid w:val="00AD0652"/>
    <w:rsid w:val="00AD5B42"/>
    <w:rsid w:val="00AD5EDF"/>
    <w:rsid w:val="00AE061E"/>
    <w:rsid w:val="00AE533E"/>
    <w:rsid w:val="00AE56DA"/>
    <w:rsid w:val="00AE7EE3"/>
    <w:rsid w:val="00AF1C9E"/>
    <w:rsid w:val="00AF33D8"/>
    <w:rsid w:val="00B001DA"/>
    <w:rsid w:val="00B0203D"/>
    <w:rsid w:val="00B11CCF"/>
    <w:rsid w:val="00B50D74"/>
    <w:rsid w:val="00B56324"/>
    <w:rsid w:val="00B628D3"/>
    <w:rsid w:val="00B63FB6"/>
    <w:rsid w:val="00B82061"/>
    <w:rsid w:val="00B866D6"/>
    <w:rsid w:val="00B95E64"/>
    <w:rsid w:val="00BA299F"/>
    <w:rsid w:val="00BA7469"/>
    <w:rsid w:val="00BB026B"/>
    <w:rsid w:val="00BB3900"/>
    <w:rsid w:val="00BC6928"/>
    <w:rsid w:val="00BD363B"/>
    <w:rsid w:val="00BF73A1"/>
    <w:rsid w:val="00C15179"/>
    <w:rsid w:val="00C216CA"/>
    <w:rsid w:val="00C26E20"/>
    <w:rsid w:val="00C37BBD"/>
    <w:rsid w:val="00C41280"/>
    <w:rsid w:val="00C70278"/>
    <w:rsid w:val="00C917A8"/>
    <w:rsid w:val="00C91E96"/>
    <w:rsid w:val="00CA5570"/>
    <w:rsid w:val="00CA6AF4"/>
    <w:rsid w:val="00CD37EA"/>
    <w:rsid w:val="00CF0E5F"/>
    <w:rsid w:val="00CF4C94"/>
    <w:rsid w:val="00CF6CEC"/>
    <w:rsid w:val="00CF7D51"/>
    <w:rsid w:val="00D01C3E"/>
    <w:rsid w:val="00D14374"/>
    <w:rsid w:val="00D21E8A"/>
    <w:rsid w:val="00D336EA"/>
    <w:rsid w:val="00D564E0"/>
    <w:rsid w:val="00D66E07"/>
    <w:rsid w:val="00D6771D"/>
    <w:rsid w:val="00D71B14"/>
    <w:rsid w:val="00D9156F"/>
    <w:rsid w:val="00DA193D"/>
    <w:rsid w:val="00DD6BEE"/>
    <w:rsid w:val="00DE1C00"/>
    <w:rsid w:val="00DF0040"/>
    <w:rsid w:val="00DF0651"/>
    <w:rsid w:val="00E00128"/>
    <w:rsid w:val="00E064C3"/>
    <w:rsid w:val="00E06E01"/>
    <w:rsid w:val="00E141BF"/>
    <w:rsid w:val="00E269AC"/>
    <w:rsid w:val="00E43FBC"/>
    <w:rsid w:val="00E53691"/>
    <w:rsid w:val="00E644F2"/>
    <w:rsid w:val="00E70C30"/>
    <w:rsid w:val="00E74EDE"/>
    <w:rsid w:val="00E8184A"/>
    <w:rsid w:val="00E93881"/>
    <w:rsid w:val="00E93ED1"/>
    <w:rsid w:val="00EA09AB"/>
    <w:rsid w:val="00EA09B6"/>
    <w:rsid w:val="00EA112D"/>
    <w:rsid w:val="00EB35CC"/>
    <w:rsid w:val="00EB58D1"/>
    <w:rsid w:val="00EC1676"/>
    <w:rsid w:val="00EC7FB9"/>
    <w:rsid w:val="00ED0E0D"/>
    <w:rsid w:val="00ED4359"/>
    <w:rsid w:val="00ED5C1B"/>
    <w:rsid w:val="00EE1EBB"/>
    <w:rsid w:val="00EE6F3D"/>
    <w:rsid w:val="00EF32C1"/>
    <w:rsid w:val="00F013F6"/>
    <w:rsid w:val="00F11144"/>
    <w:rsid w:val="00F361A7"/>
    <w:rsid w:val="00F426E0"/>
    <w:rsid w:val="00F56B0B"/>
    <w:rsid w:val="00F64DBD"/>
    <w:rsid w:val="00F77EEA"/>
    <w:rsid w:val="00F83CF1"/>
    <w:rsid w:val="00F96D29"/>
    <w:rsid w:val="00FA31EB"/>
    <w:rsid w:val="00FA387D"/>
    <w:rsid w:val="00FA6425"/>
    <w:rsid w:val="00FA6623"/>
    <w:rsid w:val="00FB6C2A"/>
    <w:rsid w:val="00FD0DBA"/>
    <w:rsid w:val="00FD37BB"/>
    <w:rsid w:val="00FE65BE"/>
    <w:rsid w:val="00FE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DBA65-6E33-470B-B192-A4B6D9CA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AD5B42"/>
    <w:pPr>
      <w:keepNext/>
      <w:jc w:val="center"/>
      <w:outlineLvl w:val="2"/>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B58D1"/>
    <w:pPr>
      <w:tabs>
        <w:tab w:val="center" w:pos="4320"/>
        <w:tab w:val="right" w:pos="8640"/>
      </w:tabs>
    </w:pPr>
    <w:rPr>
      <w:rFonts w:ascii=".VnTime" w:hAnsi=".VnTime"/>
    </w:rPr>
  </w:style>
  <w:style w:type="table" w:styleId="TableGrid">
    <w:name w:val="Table Grid"/>
    <w:basedOn w:val="TableNormal"/>
    <w:rsid w:val="00EB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2E1E"/>
    <w:rPr>
      <w:rFonts w:ascii="Tahoma" w:hAnsi="Tahoma" w:cs="Tahoma"/>
      <w:sz w:val="16"/>
      <w:szCs w:val="16"/>
    </w:rPr>
  </w:style>
  <w:style w:type="paragraph" w:styleId="Footer">
    <w:name w:val="footer"/>
    <w:basedOn w:val="Normal"/>
    <w:link w:val="FooterChar"/>
    <w:uiPriority w:val="99"/>
    <w:rsid w:val="003F0A2A"/>
    <w:pPr>
      <w:tabs>
        <w:tab w:val="center" w:pos="4320"/>
        <w:tab w:val="right" w:pos="8640"/>
      </w:tabs>
    </w:pPr>
    <w:rPr>
      <w:lang w:val="x-none" w:eastAsia="x-none"/>
    </w:rPr>
  </w:style>
  <w:style w:type="paragraph" w:customStyle="1" w:styleId="CharCharCharCharCharChar2CharCharCharChar">
    <w:name w:val=" Char Char Char Char Char Char2 Char Char Char Char"/>
    <w:basedOn w:val="Normal"/>
    <w:semiHidden/>
    <w:rsid w:val="001E6A69"/>
    <w:pPr>
      <w:spacing w:after="160" w:line="240" w:lineRule="exact"/>
    </w:pPr>
    <w:rPr>
      <w:rFonts w:ascii="Arial" w:hAnsi="Arial"/>
      <w:sz w:val="22"/>
      <w:szCs w:val="22"/>
    </w:rPr>
  </w:style>
  <w:style w:type="paragraph" w:styleId="BodyTextIndent">
    <w:name w:val="Body Text Indent"/>
    <w:basedOn w:val="Normal"/>
    <w:rsid w:val="00ED4359"/>
    <w:pPr>
      <w:ind w:firstLine="360"/>
    </w:pPr>
    <w:rPr>
      <w:rFonts w:ascii=".VnArial Narrow" w:hAnsi=".VnArial Narrow"/>
      <w:sz w:val="28"/>
      <w:szCs w:val="20"/>
    </w:rPr>
  </w:style>
  <w:style w:type="character" w:styleId="CommentReference">
    <w:name w:val="annotation reference"/>
    <w:semiHidden/>
    <w:rsid w:val="00195A30"/>
    <w:rPr>
      <w:sz w:val="16"/>
      <w:szCs w:val="16"/>
    </w:rPr>
  </w:style>
  <w:style w:type="paragraph" w:styleId="CommentText">
    <w:name w:val="annotation text"/>
    <w:basedOn w:val="Normal"/>
    <w:semiHidden/>
    <w:rsid w:val="00195A30"/>
    <w:rPr>
      <w:sz w:val="20"/>
      <w:szCs w:val="20"/>
    </w:rPr>
  </w:style>
  <w:style w:type="paragraph" w:styleId="CommentSubject">
    <w:name w:val="annotation subject"/>
    <w:basedOn w:val="CommentText"/>
    <w:next w:val="CommentText"/>
    <w:semiHidden/>
    <w:rsid w:val="00195A30"/>
    <w:rPr>
      <w:b/>
      <w:bCs/>
    </w:rPr>
  </w:style>
  <w:style w:type="paragraph" w:styleId="BodyText">
    <w:name w:val="Body Text"/>
    <w:basedOn w:val="Normal"/>
    <w:rsid w:val="00A33B69"/>
    <w:pPr>
      <w:spacing w:after="120"/>
    </w:pPr>
  </w:style>
  <w:style w:type="character" w:customStyle="1" w:styleId="FooterChar">
    <w:name w:val="Footer Char"/>
    <w:link w:val="Footer"/>
    <w:uiPriority w:val="99"/>
    <w:rsid w:val="00E064C3"/>
    <w:rPr>
      <w:sz w:val="24"/>
      <w:szCs w:val="24"/>
    </w:rPr>
  </w:style>
  <w:style w:type="paragraph" w:styleId="ListParagraph">
    <w:name w:val="List Paragraph"/>
    <w:aliases w:val="abc,Thang2,Level 2,bullet,Paragraph,Norm,Đoạn của Danh sách,List Paragraph11,Đoạn c𞹺Danh sách,List Paragraph111,Đoạn c���?nh sách,Nga 3,List Paragraph2,Colorful List - Accent 11,List Paragraph21,List Paragraph1111,List Paragraph1"/>
    <w:basedOn w:val="Normal"/>
    <w:link w:val="ListParagraphChar"/>
    <w:uiPriority w:val="34"/>
    <w:qFormat/>
    <w:rsid w:val="00146E22"/>
    <w:pPr>
      <w:ind w:left="720"/>
      <w:contextualSpacing/>
    </w:pPr>
    <w:rPr>
      <w:rFonts w:eastAsia="Calibri"/>
      <w:szCs w:val="22"/>
    </w:rPr>
  </w:style>
  <w:style w:type="character" w:styleId="Emphasis">
    <w:name w:val="Emphasis"/>
    <w:qFormat/>
    <w:rsid w:val="00201D24"/>
    <w:rPr>
      <w:i/>
      <w:iCs/>
    </w:rPr>
  </w:style>
  <w:style w:type="character" w:customStyle="1" w:styleId="HeaderChar">
    <w:name w:val="Header Char"/>
    <w:link w:val="Header"/>
    <w:rsid w:val="00201D24"/>
    <w:rPr>
      <w:rFonts w:ascii=".VnTime" w:hAnsi=".VnTime"/>
      <w:sz w:val="24"/>
      <w:szCs w:val="24"/>
    </w:rPr>
  </w:style>
  <w:style w:type="character" w:customStyle="1" w:styleId="ListParagraphChar">
    <w:name w:val="List Paragraph Char"/>
    <w:aliases w:val="abc Char,Thang2 Char,Level 2 Char,bullet Char,Paragraph Char,Norm Char,Đoạn của Danh sách Char,List Paragraph11 Char,Đoạn c𞹺Danh sách Char,List Paragraph111 Char,Đoạn c���?nh sách Char,Nga 3 Char,List Paragraph2 Char"/>
    <w:link w:val="ListParagraph"/>
    <w:uiPriority w:val="34"/>
    <w:locked/>
    <w:rsid w:val="00925ACD"/>
    <w:rPr>
      <w:rFonts w:eastAsia="Calibri"/>
      <w:sz w:val="24"/>
      <w:szCs w:val="22"/>
    </w:rPr>
  </w:style>
  <w:style w:type="paragraph" w:styleId="NormalWeb">
    <w:name w:val="Normal (Web)"/>
    <w:basedOn w:val="Normal"/>
    <w:rsid w:val="00266D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2974">
      <w:bodyDiv w:val="1"/>
      <w:marLeft w:val="0"/>
      <w:marRight w:val="0"/>
      <w:marTop w:val="0"/>
      <w:marBottom w:val="0"/>
      <w:divBdr>
        <w:top w:val="none" w:sz="0" w:space="0" w:color="auto"/>
        <w:left w:val="none" w:sz="0" w:space="0" w:color="auto"/>
        <w:bottom w:val="none" w:sz="0" w:space="0" w:color="auto"/>
        <w:right w:val="none" w:sz="0" w:space="0" w:color="auto"/>
      </w:divBdr>
    </w:div>
    <w:div w:id="17400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7529-EA42-4C00-AFA3-03B9B009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Ngân hàng TMCP Kỹ thương Việt Nam       PHIẾU BIỂU QUYẾT TẠI ĐHĐCĐ 2007</vt:lpstr>
    </vt:vector>
  </TitlesOfParts>
  <Company>Techcombank</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TMCP Kỹ thương Việt Nam       PHIẾU BIỂU QUYẾT TẠI ĐHĐCĐ 2007</dc:title>
  <dc:subject/>
  <dc:creator>ducnguyenvan</dc:creator>
  <cp:keywords/>
  <dc:description/>
  <cp:lastModifiedBy>Nam IB. Duong Thi Hong</cp:lastModifiedBy>
  <cp:revision>2</cp:revision>
  <cp:lastPrinted>2019-03-11T09:54:00Z</cp:lastPrinted>
  <dcterms:created xsi:type="dcterms:W3CDTF">2019-04-16T11:32:00Z</dcterms:created>
  <dcterms:modified xsi:type="dcterms:W3CDTF">2019-04-16T11:32:00Z</dcterms:modified>
</cp:coreProperties>
</file>