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72496D" w:rsidTr="008E49F9">
        <w:tc>
          <w:tcPr>
            <w:tcW w:w="4928" w:type="dxa"/>
          </w:tcPr>
          <w:p w:rsidR="00A95E3B" w:rsidRPr="0072496D" w:rsidRDefault="002C0F28" w:rsidP="00F528EC">
            <w:pPr>
              <w:spacing w:before="120" w:after="120" w:line="360" w:lineRule="auto"/>
              <w:jc w:val="both"/>
              <w:rPr>
                <w:rFonts w:ascii="Arial" w:eastAsia="Times New Roman" w:hAnsi="Arial" w:cs="Arial"/>
                <w:b/>
                <w:bCs/>
                <w:sz w:val="20"/>
                <w:szCs w:val="20"/>
                <w:lang w:eastAsia="en-GB"/>
              </w:rPr>
            </w:pPr>
            <w:r w:rsidRPr="0072496D">
              <w:rPr>
                <w:rFonts w:ascii="Arial" w:eastAsia="Times New Roman" w:hAnsi="Arial" w:cs="Arial"/>
                <w:b/>
                <w:bCs/>
                <w:sz w:val="20"/>
                <w:szCs w:val="20"/>
                <w:lang w:eastAsia="en-GB"/>
              </w:rPr>
              <w:t>Công ty TNHH Quản lý Quỹ Kỹ Thương</w:t>
            </w:r>
          </w:p>
        </w:tc>
        <w:tc>
          <w:tcPr>
            <w:tcW w:w="4252" w:type="dxa"/>
          </w:tcPr>
          <w:p w:rsidR="00B71FF1" w:rsidRPr="0072496D" w:rsidRDefault="00E34A50" w:rsidP="00AA2399">
            <w:pPr>
              <w:spacing w:before="120" w:after="120" w:line="360" w:lineRule="auto"/>
              <w:jc w:val="right"/>
              <w:rPr>
                <w:rFonts w:ascii="Arial" w:eastAsia="Times New Roman" w:hAnsi="Arial" w:cs="Arial"/>
                <w:b/>
                <w:bCs/>
                <w:i/>
                <w:sz w:val="20"/>
                <w:szCs w:val="20"/>
                <w:lang w:eastAsia="en-GB"/>
              </w:rPr>
            </w:pPr>
            <w:r w:rsidRPr="0072496D">
              <w:rPr>
                <w:rFonts w:ascii="Arial" w:eastAsia="Times New Roman" w:hAnsi="Arial" w:cs="Arial"/>
                <w:b/>
                <w:bCs/>
                <w:i/>
                <w:sz w:val="20"/>
                <w:szCs w:val="20"/>
                <w:lang w:eastAsia="en-GB"/>
              </w:rPr>
              <w:t>Mẫu số B06g-QM</w:t>
            </w:r>
          </w:p>
        </w:tc>
      </w:tr>
      <w:tr w:rsidR="00E34A50" w:rsidRPr="0072496D" w:rsidTr="008E49F9">
        <w:tc>
          <w:tcPr>
            <w:tcW w:w="4928" w:type="dxa"/>
          </w:tcPr>
          <w:p w:rsidR="00B71FF1" w:rsidRPr="0072496D" w:rsidRDefault="008A382A" w:rsidP="00AA2399">
            <w:pPr>
              <w:spacing w:before="120" w:after="120" w:line="36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Quỹ đầu tư cổ phiếu Techcom</w:t>
            </w:r>
          </w:p>
        </w:tc>
        <w:tc>
          <w:tcPr>
            <w:tcW w:w="4252" w:type="dxa"/>
          </w:tcPr>
          <w:p w:rsidR="00B71FF1" w:rsidRPr="0072496D" w:rsidRDefault="008A382A" w:rsidP="00AA2399">
            <w:pPr>
              <w:spacing w:before="120" w:after="120" w:line="360" w:lineRule="auto"/>
              <w:jc w:val="right"/>
              <w:rPr>
                <w:rFonts w:ascii="Arial" w:eastAsia="Times New Roman" w:hAnsi="Arial" w:cs="Arial"/>
                <w:bCs/>
                <w:i/>
                <w:sz w:val="20"/>
                <w:szCs w:val="20"/>
                <w:lang w:eastAsia="en-GB"/>
              </w:rPr>
            </w:pPr>
            <w:r>
              <w:rPr>
                <w:rFonts w:ascii="Arial" w:eastAsia="Times New Roman" w:hAnsi="Arial" w:cs="Arial"/>
                <w:bCs/>
                <w:i/>
                <w:sz w:val="20"/>
                <w:szCs w:val="20"/>
                <w:lang w:eastAsia="en-GB"/>
              </w:rPr>
              <w:t>(Ban hành theo TT số 198/2012/TT-BTC ngày 15/11/2012 của Bộ Tài Chính)</w:t>
            </w:r>
          </w:p>
        </w:tc>
      </w:tr>
    </w:tbl>
    <w:p w:rsidR="00236C4C" w:rsidRPr="0072496D" w:rsidRDefault="008A382A" w:rsidP="00AA2399">
      <w:pPr>
        <w:spacing w:before="120" w:after="120" w:line="360" w:lineRule="auto"/>
        <w:jc w:val="center"/>
        <w:rPr>
          <w:rFonts w:ascii="Arial" w:hAnsi="Arial" w:cs="Arial"/>
          <w:b/>
          <w:sz w:val="20"/>
          <w:szCs w:val="20"/>
        </w:rPr>
      </w:pPr>
      <w:r>
        <w:rPr>
          <w:rFonts w:ascii="Arial" w:hAnsi="Arial" w:cs="Arial"/>
          <w:b/>
          <w:sz w:val="20"/>
          <w:szCs w:val="20"/>
        </w:rPr>
        <w:t>BẢN THUYẾT MINH BÁO CÁO TÀI CHÍNH</w:t>
      </w:r>
    </w:p>
    <w:p w:rsidR="00236C4C" w:rsidRPr="0072496D" w:rsidRDefault="008A382A" w:rsidP="00AA2399">
      <w:pPr>
        <w:spacing w:before="120" w:after="120" w:line="360" w:lineRule="auto"/>
        <w:jc w:val="center"/>
        <w:rPr>
          <w:rFonts w:ascii="Arial" w:hAnsi="Arial" w:cs="Arial"/>
          <w:b/>
          <w:sz w:val="20"/>
          <w:szCs w:val="20"/>
        </w:rPr>
      </w:pPr>
      <w:r>
        <w:rPr>
          <w:rFonts w:ascii="Arial" w:hAnsi="Arial" w:cs="Arial"/>
          <w:b/>
          <w:sz w:val="20"/>
          <w:szCs w:val="20"/>
        </w:rPr>
        <w:t>QUÝ IV NĂM 2017</w:t>
      </w:r>
    </w:p>
    <w:p w:rsidR="00B71FF1" w:rsidRPr="0072496D"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Pr>
          <w:rFonts w:ascii="Arial" w:hAnsi="Arial" w:cs="Arial"/>
          <w:b/>
          <w:sz w:val="20"/>
          <w:szCs w:val="20"/>
        </w:rPr>
        <w:t>Đặc điểm hoạt động của Quỹ mở</w:t>
      </w:r>
    </w:p>
    <w:p w:rsidR="00B71FF1" w:rsidRPr="0072496D"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Pr>
          <w:rFonts w:ascii="Arial" w:hAnsi="Arial" w:cs="Arial"/>
          <w:b/>
          <w:i/>
          <w:sz w:val="20"/>
          <w:szCs w:val="20"/>
        </w:rPr>
        <w:t>Giấy chứng nhận chào bán chứng chỉ Quỹ và Giấy chứng nhận đăng ký thành lập Quỹ mở</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Quỹ đầu tư cổ phiếu Techcom (“Quỹ TCEF”) là quỹ đầu tư cổ phiếu dạng mở theo Giấy chứng nhận đăng ký thành lập quỹ đại chúng số 18/GCN-UBCK ngày 08 tháng 09 năm 2015 của Ủy Ban Chứng Khoán Nhà nước (“UBCKNN”).</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Chứng chỉ Quỹ TCEF được chào bán ra công chúng lần đầu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Giấy chứng nhận Đăng ký chào bán chứng chỉ quỹ đầu tư trái phiếu ra công chúng số 30/GCN-UBCK do UBCKNN cấp ngày 01 tháng 6 năm 2015. Theo quy định của Giấy chứng nhận này, Quỹ TCEF phát hành 6.067.000 đơn vị quỹ ra công chúng với mệnh giá là 10.000 đồng Việt Nam/đơn vị quỹ.</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1.2</w:t>
      </w:r>
      <w:r>
        <w:rPr>
          <w:rFonts w:ascii="Arial" w:hAnsi="Arial" w:cs="Arial"/>
          <w:b/>
          <w:i/>
          <w:sz w:val="20"/>
          <w:szCs w:val="20"/>
        </w:rPr>
        <w:tab/>
        <w:t>Địa chỉ liên hệ của Quỹ</w:t>
      </w:r>
    </w:p>
    <w:p w:rsidR="00B71FF1" w:rsidRPr="0072496D" w:rsidRDefault="008A382A" w:rsidP="00AA2399">
      <w:pPr>
        <w:pStyle w:val="ListParagraph"/>
        <w:tabs>
          <w:tab w:val="left" w:pos="720"/>
        </w:tabs>
        <w:spacing w:before="120" w:after="120" w:line="360" w:lineRule="auto"/>
        <w:contextualSpacing w:val="0"/>
        <w:jc w:val="both"/>
        <w:rPr>
          <w:rFonts w:ascii="Arial" w:hAnsi="Arial" w:cs="Arial"/>
          <w:sz w:val="20"/>
          <w:szCs w:val="20"/>
        </w:rPr>
      </w:pPr>
      <w:r>
        <w:rPr>
          <w:rFonts w:ascii="Arial" w:hAnsi="Arial" w:cs="Arial"/>
          <w:sz w:val="20"/>
          <w:szCs w:val="20"/>
        </w:rPr>
        <w:t>Tầng 10, Techcombank Tower, 191 Bà Triệu, Q. Hai Bà Trưng, Hà Nội, Việt Nam</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1.3</w:t>
      </w:r>
      <w:r>
        <w:rPr>
          <w:rFonts w:ascii="Arial" w:hAnsi="Arial" w:cs="Arial"/>
          <w:b/>
          <w:i/>
          <w:sz w:val="20"/>
          <w:szCs w:val="20"/>
        </w:rPr>
        <w:tab/>
        <w:t xml:space="preserve"> Những đặc điểm chính về hoạt động Quỹ mở</w:t>
      </w:r>
    </w:p>
    <w:p w:rsidR="00B71FF1" w:rsidRPr="0072496D" w:rsidRDefault="008A382A" w:rsidP="004F624C">
      <w:pPr>
        <w:tabs>
          <w:tab w:val="left" w:pos="720"/>
        </w:tabs>
        <w:spacing w:before="120" w:after="120" w:line="360" w:lineRule="auto"/>
        <w:ind w:left="709" w:hanging="439"/>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b/>
          <w:sz w:val="20"/>
          <w:szCs w:val="20"/>
        </w:rPr>
        <w:t>Quy mô vốn Quỹ mở:</w:t>
      </w:r>
      <w:r>
        <w:rPr>
          <w:rFonts w:ascii="Arial" w:hAnsi="Arial" w:cs="Arial"/>
          <w:sz w:val="20"/>
          <w:szCs w:val="20"/>
        </w:rPr>
        <w:t xml:space="preserve"> Quỹ có vốn điều lệ huy động được trong đợt phát hành chứng chỉ Quỹ lần đầu ra công chúng là 60.670.000.000 đồng Việt Nam tương tương 6.070.000 chứng chỉ Quỹ. Tại ngày 31 tháng 12 năm 2017, vốn góp bằng mệnh giá của Nhà Đầu tư vào Quỹ là  63.317.285.300 đồng Việt Nam, tương đương  6.331.728,53 chứng chỉ quỹ. </w:t>
      </w:r>
    </w:p>
    <w:p w:rsidR="00FB64E6" w:rsidRPr="0072496D"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Pr>
          <w:rFonts w:ascii="Arial" w:hAnsi="Arial" w:cs="Arial"/>
          <w:b/>
          <w:sz w:val="20"/>
          <w:szCs w:val="20"/>
        </w:rPr>
        <w:t>Mục tiêu đầu tư:</w:t>
      </w:r>
      <w:r>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Pr>
          <w:rFonts w:ascii="Arial" w:hAnsi="Arial" w:cs="Arial"/>
          <w:b/>
          <w:sz w:val="20"/>
          <w:szCs w:val="20"/>
        </w:rPr>
        <w:t>Xác định Giá trị tài sản ròng của Quỹ</w:t>
      </w:r>
    </w:p>
    <w:p w:rsidR="00A95E3B" w:rsidRPr="004723EE" w:rsidRDefault="008A382A" w:rsidP="004723EE">
      <w:pPr>
        <w:pStyle w:val="ListParagraph"/>
        <w:tabs>
          <w:tab w:val="left" w:pos="720"/>
        </w:tabs>
        <w:spacing w:before="120" w:after="120" w:line="360" w:lineRule="auto"/>
        <w:ind w:left="706"/>
        <w:jc w:val="both"/>
        <w:rPr>
          <w:rFonts w:ascii="Arial" w:hAnsi="Arial" w:cs="Arial"/>
          <w:b/>
          <w:sz w:val="20"/>
          <w:szCs w:val="20"/>
        </w:rPr>
      </w:pPr>
      <w:r>
        <w:rPr>
          <w:rFonts w:ascii="Arial" w:hAnsi="Arial" w:cs="Arial"/>
          <w:i/>
          <w:sz w:val="20"/>
          <w:szCs w:val="20"/>
        </w:rPr>
        <w:t>Ngày định giá</w:t>
      </w:r>
    </w:p>
    <w:p w:rsidR="008A4900" w:rsidRDefault="008A382A">
      <w:pPr>
        <w:pStyle w:val="ListParagraph"/>
        <w:tabs>
          <w:tab w:val="left" w:pos="720"/>
        </w:tabs>
        <w:spacing w:before="120" w:after="120" w:line="360" w:lineRule="auto"/>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Ngày định giá là ngày xác định Giá trị tài sản ròng của Quỹ.</w:t>
      </w:r>
      <w:proofErr w:type="gramEnd"/>
      <w:r>
        <w:rPr>
          <w:rFonts w:ascii="Arial" w:eastAsia="Times New Roman" w:hAnsi="Arial" w:cs="Arial"/>
          <w:bCs/>
          <w:sz w:val="20"/>
          <w:szCs w:val="20"/>
          <w:lang w:eastAsia="en-GB"/>
        </w:rPr>
        <w:t xml:space="preserve"> Ngày định giá là ngày thứ Ba hàng tuần cho kỳ định giá tuần và là ngày đầu tiên của tháng tiếp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đối với việc định giá để làm báo cáo tháng, quý, năm theo luật định.</w:t>
      </w:r>
    </w:p>
    <w:p w:rsidR="00A95E3B" w:rsidRPr="0072496D" w:rsidRDefault="008A382A" w:rsidP="00615DDD">
      <w:pPr>
        <w:tabs>
          <w:tab w:val="left" w:pos="720"/>
        </w:tabs>
        <w:spacing w:before="120" w:after="120" w:line="360" w:lineRule="auto"/>
        <w:ind w:left="270"/>
        <w:jc w:val="both"/>
        <w:rPr>
          <w:rFonts w:ascii="Arial" w:hAnsi="Arial" w:cs="Arial"/>
          <w:i/>
          <w:sz w:val="20"/>
          <w:szCs w:val="20"/>
        </w:rPr>
      </w:pPr>
      <w:r>
        <w:rPr>
          <w:rFonts w:ascii="Arial" w:hAnsi="Arial" w:cs="Arial"/>
          <w:i/>
          <w:sz w:val="20"/>
          <w:szCs w:val="20"/>
        </w:rPr>
        <w:tab/>
        <w:t>Xác định Giá trị tài sản ròng của Quỹ</w:t>
      </w:r>
    </w:p>
    <w:p w:rsidR="00A95E3B" w:rsidRPr="0072496D"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72496D" w:rsidRDefault="008A382A" w:rsidP="00AA2399">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72496D" w:rsidRDefault="008A382A" w:rsidP="00AA2399">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72496D"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Pr>
          <w:rFonts w:ascii="Arial" w:hAnsi="Arial" w:cs="Arial"/>
          <w:b/>
          <w:sz w:val="20"/>
          <w:szCs w:val="20"/>
        </w:rPr>
        <w:lastRenderedPageBreak/>
        <w:t>Tần suất giao dịch chứng chỉ Quỹ</w:t>
      </w:r>
    </w:p>
    <w:p w:rsidR="0047763A" w:rsidRPr="0072496D" w:rsidRDefault="008A382A" w:rsidP="0047763A">
      <w:pPr>
        <w:pStyle w:val="ListParagraph"/>
        <w:numPr>
          <w:ilvl w:val="0"/>
          <w:numId w:val="5"/>
        </w:numPr>
        <w:tabs>
          <w:tab w:val="left" w:pos="720"/>
        </w:tabs>
        <w:spacing w:before="120" w:after="120" w:line="360" w:lineRule="auto"/>
        <w:jc w:val="both"/>
        <w:rPr>
          <w:rFonts w:ascii="Arial" w:hAnsi="Arial" w:cs="Arial"/>
          <w:sz w:val="20"/>
          <w:szCs w:val="20"/>
          <w:lang w:val="vi-VN"/>
        </w:rPr>
      </w:pPr>
      <w:r>
        <w:rPr>
          <w:rFonts w:ascii="Arial" w:hAnsi="Arial" w:cs="Arial"/>
          <w:sz w:val="20"/>
          <w:szCs w:val="20"/>
        </w:rPr>
        <w:t xml:space="preserve">Nhà đầu tư có thể mua, bán, chuyển đổi Quỹ hoặc chuyển nhượng Đơn vị Quỹ vào ngày Thứ Ba hàng tuần (“Ngày Giao Dịch”). Nếu Ngày Thứ Ba không phải là ngày làm việc, thì Ngày Giao Dịch sẽ được chuyển sang ngày làm việc tiếp </w:t>
      </w:r>
      <w:proofErr w:type="gramStart"/>
      <w:r>
        <w:rPr>
          <w:rFonts w:ascii="Arial" w:hAnsi="Arial" w:cs="Arial"/>
          <w:sz w:val="20"/>
          <w:szCs w:val="20"/>
        </w:rPr>
        <w:t>theo</w:t>
      </w:r>
      <w:proofErr w:type="gramEnd"/>
      <w:r>
        <w:rPr>
          <w:rFonts w:ascii="Arial" w:hAnsi="Arial" w:cs="Arial"/>
          <w:sz w:val="20"/>
          <w:szCs w:val="20"/>
        </w:rPr>
        <w:t xml:space="preserve">. Trường hợp ngày làm việc tiếp </w:t>
      </w:r>
      <w:proofErr w:type="gramStart"/>
      <w:r>
        <w:rPr>
          <w:rFonts w:ascii="Arial" w:hAnsi="Arial" w:cs="Arial"/>
          <w:sz w:val="20"/>
          <w:szCs w:val="20"/>
        </w:rPr>
        <w:t>theo</w:t>
      </w:r>
      <w:proofErr w:type="gramEnd"/>
      <w:r>
        <w:rPr>
          <w:rFonts w:ascii="Arial" w:hAnsi="Arial" w:cs="Arial"/>
          <w:sz w:val="20"/>
          <w:szCs w:val="20"/>
        </w:rPr>
        <w:t xml:space="preserve"> là ngày Thứ Hai, thì ngày giao dịch sẽ được chuyển sang Thứ Ba ngay sau đó.</w:t>
      </w:r>
    </w:p>
    <w:p w:rsidR="0047763A" w:rsidRPr="0072496D" w:rsidRDefault="008A382A" w:rsidP="0047763A">
      <w:pPr>
        <w:pStyle w:val="ListParagraph"/>
        <w:numPr>
          <w:ilvl w:val="0"/>
          <w:numId w:val="5"/>
        </w:numPr>
        <w:tabs>
          <w:tab w:val="left" w:pos="720"/>
        </w:tabs>
        <w:spacing w:before="120" w:after="120" w:line="360" w:lineRule="auto"/>
        <w:jc w:val="both"/>
        <w:rPr>
          <w:rFonts w:ascii="Arial" w:hAnsi="Arial" w:cs="Arial"/>
          <w:sz w:val="20"/>
          <w:szCs w:val="20"/>
        </w:rPr>
      </w:pPr>
      <w:r>
        <w:rPr>
          <w:rFonts w:ascii="Arial" w:hAnsi="Arial" w:cs="Arial"/>
          <w:sz w:val="20"/>
          <w:szCs w:val="20"/>
        </w:rPr>
        <w:t xml:space="preserve">Việc tăng tần suất sẽ được Công ty Quản Lý Quỹ thông báo công khai tại Bản Cáo Bạch, công bố thông tin </w:t>
      </w:r>
      <w:proofErr w:type="gramStart"/>
      <w:r>
        <w:rPr>
          <w:rFonts w:ascii="Arial" w:hAnsi="Arial" w:cs="Arial"/>
          <w:sz w:val="20"/>
          <w:szCs w:val="20"/>
        </w:rPr>
        <w:t>theo</w:t>
      </w:r>
      <w:proofErr w:type="gramEnd"/>
      <w:r>
        <w:rPr>
          <w:rFonts w:ascii="Arial" w:hAnsi="Arial" w:cs="Arial"/>
          <w:sz w:val="20"/>
          <w:szCs w:val="20"/>
        </w:rPr>
        <w:t xml:space="preserve"> quy định của Pháp Luật. </w:t>
      </w:r>
    </w:p>
    <w:p w:rsidR="0005127A" w:rsidRPr="0005127A" w:rsidRDefault="008A382A" w:rsidP="0005127A">
      <w:pPr>
        <w:pStyle w:val="ListParagraph"/>
        <w:numPr>
          <w:ilvl w:val="0"/>
          <w:numId w:val="5"/>
        </w:numPr>
        <w:tabs>
          <w:tab w:val="left" w:pos="720"/>
        </w:tabs>
        <w:spacing w:before="120" w:after="120" w:line="360" w:lineRule="auto"/>
        <w:jc w:val="both"/>
        <w:rPr>
          <w:rFonts w:ascii="Arial" w:hAnsi="Arial" w:cs="Arial"/>
          <w:sz w:val="20"/>
          <w:szCs w:val="20"/>
          <w:lang w:val="vi-VN"/>
        </w:rPr>
      </w:pPr>
      <w:r>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72496D" w:rsidRDefault="008A382A"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Pr>
          <w:rFonts w:ascii="Arial" w:eastAsia="Times New Roman" w:hAnsi="Arial" w:cs="Arial"/>
          <w:b/>
          <w:bCs/>
          <w:color w:val="000000"/>
          <w:sz w:val="20"/>
          <w:szCs w:val="20"/>
        </w:rPr>
        <w:t>Hạn chế đầu tư của Quỹ mở:</w:t>
      </w:r>
    </w:p>
    <w:p w:rsidR="0047763A" w:rsidRPr="0072496D" w:rsidRDefault="008A382A" w:rsidP="0047763A">
      <w:pPr>
        <w:pStyle w:val="ListParagraph"/>
        <w:numPr>
          <w:ilvl w:val="0"/>
          <w:numId w:val="26"/>
        </w:numPr>
        <w:tabs>
          <w:tab w:val="left" w:pos="720"/>
        </w:tabs>
        <w:spacing w:before="120" w:after="120" w:line="360" w:lineRule="auto"/>
        <w:jc w:val="both"/>
        <w:rPr>
          <w:rFonts w:ascii="Arial" w:hAnsi="Arial" w:cs="Arial"/>
          <w:sz w:val="20"/>
          <w:szCs w:val="20"/>
        </w:rPr>
      </w:pPr>
      <w:bookmarkStart w:id="0" w:name="_Ref443399673"/>
      <w:r>
        <w:rPr>
          <w:rFonts w:ascii="Arial" w:hAnsi="Arial" w:cs="Arial"/>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0"/>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lang w:val="vi-VN"/>
        </w:rPr>
      </w:pPr>
      <w:r>
        <w:rPr>
          <w:rFonts w:ascii="Arial" w:hAnsi="Arial" w:cs="Arial"/>
          <w:sz w:val="20"/>
          <w:szCs w:val="20"/>
        </w:rPr>
        <w:t>a)</w:t>
      </w:r>
      <w:r>
        <w:rPr>
          <w:rFonts w:ascii="Arial" w:hAnsi="Arial" w:cs="Arial"/>
          <w:sz w:val="20"/>
          <w:szCs w:val="20"/>
          <w:lang w:val="vi-VN"/>
        </w:rPr>
        <w:t xml:space="preserve"> </w:t>
      </w:r>
      <w:r>
        <w:rPr>
          <w:rFonts w:ascii="Arial" w:hAnsi="Arial" w:cs="Arial"/>
          <w:sz w:val="20"/>
          <w:szCs w:val="20"/>
        </w:rPr>
        <w:t>Trừ tiền gửi trên tài khoản thanh toán của Quỹ tại Ngân Hàng Giám Sát; Quỹ không được đầu tư quá bốn mươi chín phần trăm (49%) tổng giá trị tài sản của Quỹ vào các tài sản theo quy định tại điểm a, b khoản 1</w:t>
      </w:r>
      <w:r>
        <w:rPr>
          <w:rFonts w:ascii="Arial" w:hAnsi="Arial" w:cs="Arial"/>
          <w:sz w:val="20"/>
          <w:szCs w:val="20"/>
          <w:lang w:val="vi-VN"/>
        </w:rPr>
        <w:t xml:space="preserve"> </w:t>
      </w:r>
      <w:r>
        <w:rPr>
          <w:rFonts w:ascii="Arial" w:hAnsi="Arial" w:cs="Arial"/>
          <w:sz w:val="20"/>
          <w:szCs w:val="20"/>
        </w:rPr>
        <w:t xml:space="preserve">điều 10 </w:t>
      </w:r>
      <w:r>
        <w:rPr>
          <w:rFonts w:ascii="Arial" w:hAnsi="Arial" w:cs="Arial"/>
          <w:sz w:val="20"/>
          <w:szCs w:val="20"/>
          <w:lang w:val="vi-VN"/>
        </w:rPr>
        <w:t>điều lệ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lang w:val="vi-VN"/>
        </w:rPr>
      </w:pPr>
      <w:r>
        <w:rPr>
          <w:rFonts w:ascii="Arial" w:hAnsi="Arial" w:cs="Arial"/>
          <w:sz w:val="20"/>
          <w:szCs w:val="20"/>
        </w:rPr>
        <w:t>b)</w:t>
      </w:r>
      <w:r>
        <w:rPr>
          <w:rFonts w:ascii="Arial" w:hAnsi="Arial" w:cs="Arial"/>
          <w:sz w:val="20"/>
          <w:szCs w:val="20"/>
          <w:lang w:val="vi-VN"/>
        </w:rPr>
        <w:t xml:space="preserve"> </w:t>
      </w:r>
      <w:r>
        <w:rPr>
          <w:rFonts w:ascii="Arial" w:hAnsi="Arial" w:cs="Arial"/>
          <w:sz w:val="20"/>
          <w:szCs w:val="20"/>
        </w:rPr>
        <w:t>Không được đầu tư quá ba mươi phần trăm (30%) tổng giá trị tài sản của Quỹ vào các tài sản quy định tại điểm a, b, d, e và f khoản</w:t>
      </w:r>
      <w:r w:rsidR="006B2D21" w:rsidRPr="0072496D">
        <w:rPr>
          <w:rFonts w:ascii="Arial" w:hAnsi="Arial" w:cs="Arial"/>
          <w:sz w:val="20"/>
          <w:szCs w:val="20"/>
        </w:rPr>
        <w:t xml:space="preserve"> </w:t>
      </w:r>
      <w:r>
        <w:rPr>
          <w:rFonts w:ascii="Arial" w:hAnsi="Arial" w:cs="Arial"/>
          <w:sz w:val="20"/>
          <w:szCs w:val="20"/>
        </w:rPr>
        <w:t>1</w:t>
      </w:r>
      <w:r w:rsidR="006B2D21" w:rsidRPr="0072496D">
        <w:rPr>
          <w:rFonts w:ascii="Arial" w:hAnsi="Arial" w:cs="Arial"/>
          <w:sz w:val="20"/>
          <w:szCs w:val="20"/>
        </w:rPr>
        <w:t xml:space="preserve"> điều 10</w:t>
      </w:r>
      <w:r>
        <w:rPr>
          <w:rFonts w:ascii="Arial" w:hAnsi="Arial" w:cs="Arial"/>
          <w:sz w:val="20"/>
          <w:szCs w:val="20"/>
        </w:rPr>
        <w:t xml:space="preserve"> </w:t>
      </w:r>
      <w:r>
        <w:rPr>
          <w:rFonts w:ascii="Arial" w:hAnsi="Arial" w:cs="Arial"/>
          <w:sz w:val="20"/>
          <w:szCs w:val="20"/>
          <w:lang w:val="vi-VN"/>
        </w:rPr>
        <w:t>điều lệ quỹ</w:t>
      </w:r>
      <w:r>
        <w:rPr>
          <w:rFonts w:ascii="Arial" w:hAnsi="Arial" w:cs="Arial"/>
          <w:sz w:val="20"/>
          <w:szCs w:val="20"/>
        </w:rPr>
        <w:t>, phát hành bởi một công ty hoặc một nhóm công ty có quan hệ sở hữu với nhau, trong đó phần đầu tư vào chứng khoán phái sinh là giá trị cam kết của hợp đồng xác định theo quy định tại Điều 53.3 Điều lệ</w:t>
      </w:r>
      <w:r>
        <w:rPr>
          <w:rFonts w:ascii="Arial" w:hAnsi="Arial" w:cs="Arial"/>
          <w:sz w:val="20"/>
          <w:szCs w:val="20"/>
          <w:lang w:val="vi-VN"/>
        </w:rPr>
        <w:t xml:space="preserve">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lang w:val="vi-VN"/>
        </w:rPr>
        <w:t xml:space="preserve"> </w:t>
      </w:r>
      <w:r>
        <w:rPr>
          <w:rFonts w:ascii="Arial" w:hAnsi="Arial" w:cs="Arial"/>
          <w:sz w:val="20"/>
          <w:szCs w:val="20"/>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d)</w:t>
      </w:r>
      <w:r>
        <w:rPr>
          <w:rFonts w:ascii="Arial" w:hAnsi="Arial" w:cs="Arial"/>
          <w:sz w:val="20"/>
          <w:szCs w:val="20"/>
          <w:lang w:val="vi-VN"/>
        </w:rPr>
        <w:t xml:space="preserve"> </w:t>
      </w:r>
      <w:r>
        <w:rPr>
          <w:rFonts w:ascii="Arial" w:hAnsi="Arial" w:cs="Arial"/>
          <w:sz w:val="20"/>
          <w:szCs w:val="20"/>
        </w:rPr>
        <w:t>Không được đầu tư vào chứng khoán của một tổ chức phát hành quá mười phần trăm (10%) tổng giá trị chứng khoán đang lưu hành của tổ chức đó, trừ trái phiếu chính phủ;</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lang w:val="vi-VN"/>
        </w:rPr>
      </w:pPr>
      <w:r>
        <w:rPr>
          <w:rFonts w:ascii="Arial" w:hAnsi="Arial" w:cs="Arial"/>
          <w:sz w:val="20"/>
          <w:szCs w:val="20"/>
        </w:rPr>
        <w:t>e)</w:t>
      </w:r>
      <w:r>
        <w:rPr>
          <w:rFonts w:ascii="Arial" w:hAnsi="Arial" w:cs="Arial"/>
          <w:sz w:val="20"/>
          <w:szCs w:val="20"/>
          <w:lang w:val="vi-VN"/>
        </w:rPr>
        <w:t xml:space="preserve"> </w:t>
      </w:r>
      <w:r>
        <w:rPr>
          <w:rFonts w:ascii="Arial" w:hAnsi="Arial" w:cs="Arial"/>
          <w:sz w:val="20"/>
          <w:szCs w:val="20"/>
        </w:rPr>
        <w:t xml:space="preserve">Không được đầu tư quá mười phần trăm (10%) tổng giá trị tài sản của Quỹ vào các tài sản quy định tại điểm e khoản 1 điều 10 Điều </w:t>
      </w:r>
      <w:r>
        <w:rPr>
          <w:rFonts w:ascii="Arial" w:hAnsi="Arial" w:cs="Arial"/>
          <w:sz w:val="20"/>
          <w:szCs w:val="20"/>
          <w:lang w:val="vi-VN"/>
        </w:rPr>
        <w:t>lệ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f)</w:t>
      </w:r>
      <w:r>
        <w:rPr>
          <w:rFonts w:ascii="Arial" w:hAnsi="Arial" w:cs="Arial"/>
          <w:sz w:val="20"/>
          <w:szCs w:val="20"/>
          <w:lang w:val="vi-VN"/>
        </w:rPr>
        <w:t xml:space="preserve"> </w:t>
      </w:r>
      <w:r>
        <w:rPr>
          <w:rFonts w:ascii="Arial" w:hAnsi="Arial" w:cs="Arial"/>
          <w:sz w:val="20"/>
          <w:szCs w:val="20"/>
        </w:rPr>
        <w:t>Tổng giá trị các hạng mục đầu tư lớn trong danh mục đầu tư của Quỹ không được vượt quá bốn mươi phần trăm (40%) tổng giá trị tài sản của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g)</w:t>
      </w:r>
      <w:r>
        <w:rPr>
          <w:rFonts w:ascii="Arial" w:hAnsi="Arial" w:cs="Arial"/>
          <w:sz w:val="20"/>
          <w:szCs w:val="20"/>
          <w:lang w:val="vi-VN"/>
        </w:rPr>
        <w:t xml:space="preserve"> </w:t>
      </w:r>
      <w:r>
        <w:rPr>
          <w:rFonts w:ascii="Arial" w:hAnsi="Arial" w:cs="Arial"/>
          <w:sz w:val="20"/>
          <w:szCs w:val="20"/>
        </w:rPr>
        <w:t>Tại mọi thời điểm, tổng giá trị cam kết trong các giao dịch chứng khoán phái sinh, dư nợ vay và các khoản phải trả của quỹ không được vượt quá giá trị tài sản ròng của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h)</w:t>
      </w:r>
      <w:r>
        <w:rPr>
          <w:rFonts w:ascii="Arial" w:hAnsi="Arial" w:cs="Arial"/>
          <w:sz w:val="20"/>
          <w:szCs w:val="20"/>
          <w:lang w:val="vi-VN"/>
        </w:rPr>
        <w:t xml:space="preserve"> </w:t>
      </w:r>
      <w:r>
        <w:rPr>
          <w:rFonts w:ascii="Arial" w:hAnsi="Arial" w:cs="Arial"/>
          <w:sz w:val="20"/>
          <w:szCs w:val="20"/>
        </w:rPr>
        <w:t>Không được đầu tư vào các quỹ đầu tư chứng khoán, cổ phiếu của các công ty đầu tư chứng khoán thành lập và hoạt động tại Việt Nam;</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i)</w:t>
      </w:r>
      <w:r>
        <w:rPr>
          <w:rFonts w:ascii="Arial" w:hAnsi="Arial" w:cs="Arial"/>
          <w:sz w:val="20"/>
          <w:szCs w:val="20"/>
          <w:lang w:val="vi-VN"/>
        </w:rPr>
        <w:t xml:space="preserve"> </w:t>
      </w:r>
      <w:r>
        <w:rPr>
          <w:rFonts w:ascii="Arial" w:hAnsi="Arial" w:cs="Arial"/>
          <w:sz w:val="20"/>
          <w:szCs w:val="20"/>
        </w:rPr>
        <w:t xml:space="preserve">Không được đầu tư trực tiếp vào bất động sản, đá quý, </w:t>
      </w:r>
      <w:proofErr w:type="gramStart"/>
      <w:r>
        <w:rPr>
          <w:rFonts w:ascii="Arial" w:hAnsi="Arial" w:cs="Arial"/>
          <w:sz w:val="20"/>
          <w:szCs w:val="20"/>
        </w:rPr>
        <w:t>kim</w:t>
      </w:r>
      <w:proofErr w:type="gramEnd"/>
      <w:r>
        <w:rPr>
          <w:rFonts w:ascii="Arial" w:hAnsi="Arial" w:cs="Arial"/>
          <w:sz w:val="20"/>
          <w:szCs w:val="20"/>
        </w:rPr>
        <w:t xml:space="preserve"> loại quý hiếm;</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k)</w:t>
      </w:r>
      <w:r>
        <w:rPr>
          <w:rFonts w:ascii="Arial" w:hAnsi="Arial" w:cs="Arial"/>
          <w:sz w:val="20"/>
          <w:szCs w:val="20"/>
          <w:lang w:val="vi-VN"/>
        </w:rPr>
        <w:t xml:space="preserve"> </w:t>
      </w:r>
      <w:r>
        <w:rPr>
          <w:rFonts w:ascii="Arial" w:hAnsi="Arial" w:cs="Arial"/>
          <w:sz w:val="20"/>
          <w:szCs w:val="20"/>
        </w:rPr>
        <w:t>Phải có chứng khoán của ít nhất sáu (06) tổ chức phát hành;</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l)</w:t>
      </w:r>
      <w:r>
        <w:rPr>
          <w:rFonts w:ascii="Arial" w:hAnsi="Arial" w:cs="Arial"/>
          <w:sz w:val="20"/>
          <w:szCs w:val="20"/>
          <w:lang w:val="vi-VN"/>
        </w:rPr>
        <w:t xml:space="preserve"> </w:t>
      </w:r>
      <w:r>
        <w:rPr>
          <w:rFonts w:ascii="Arial" w:hAnsi="Arial" w:cs="Arial"/>
          <w:sz w:val="20"/>
          <w:szCs w:val="20"/>
        </w:rPr>
        <w:t>Quỹ chỉ được đầu tư tiền gửi, công cụ tiền tệ quy định tại điểm a và b Khoản</w:t>
      </w:r>
      <w:r w:rsidR="00E43706">
        <w:rPr>
          <w:rFonts w:ascii="Arial" w:hAnsi="Arial" w:cs="Arial"/>
          <w:sz w:val="20"/>
          <w:szCs w:val="20"/>
        </w:rPr>
        <w:t xml:space="preserve"> 1 điều 10</w:t>
      </w:r>
      <w:r>
        <w:rPr>
          <w:rFonts w:ascii="Arial" w:hAnsi="Arial" w:cs="Arial"/>
          <w:sz w:val="20"/>
          <w:szCs w:val="20"/>
        </w:rPr>
        <w:t xml:space="preserve"> Điều </w:t>
      </w:r>
      <w:r>
        <w:rPr>
          <w:rFonts w:ascii="Arial" w:hAnsi="Arial" w:cs="Arial"/>
          <w:sz w:val="20"/>
          <w:szCs w:val="20"/>
          <w:lang w:val="vi-VN"/>
        </w:rPr>
        <w:t>lệ quỹ</w:t>
      </w:r>
      <w:r>
        <w:rPr>
          <w:rFonts w:ascii="Arial" w:hAnsi="Arial" w:cs="Arial"/>
          <w:sz w:val="20"/>
          <w:szCs w:val="20"/>
        </w:rPr>
        <w:t xml:space="preserve"> được phát hành bởi các tổ chức tín dụng trong danh sách đã được Ban Đại Diện Quỹ phê duyệt bằng văn bản. </w:t>
      </w:r>
    </w:p>
    <w:p w:rsidR="0047763A" w:rsidRPr="0072496D" w:rsidRDefault="008A382A" w:rsidP="0047763A">
      <w:pPr>
        <w:pStyle w:val="ListParagraph"/>
        <w:numPr>
          <w:ilvl w:val="0"/>
          <w:numId w:val="26"/>
        </w:numPr>
        <w:tabs>
          <w:tab w:val="left" w:pos="720"/>
        </w:tabs>
        <w:spacing w:before="120" w:after="120" w:line="360" w:lineRule="auto"/>
        <w:jc w:val="both"/>
        <w:rPr>
          <w:rFonts w:ascii="Arial" w:hAnsi="Arial" w:cs="Arial"/>
          <w:sz w:val="20"/>
          <w:szCs w:val="20"/>
        </w:rPr>
      </w:pPr>
      <w:r>
        <w:rPr>
          <w:rFonts w:ascii="Arial" w:hAnsi="Arial" w:cs="Arial"/>
          <w:sz w:val="20"/>
          <w:szCs w:val="20"/>
        </w:rPr>
        <w:t>Cơ cấu đầu tư của Quỹ được phép sai lệch so với các hạn chế được đưa ra tại Khoản</w:t>
      </w:r>
      <w:r w:rsidR="006B2D21" w:rsidRPr="0072496D">
        <w:rPr>
          <w:rFonts w:ascii="Arial" w:hAnsi="Arial" w:cs="Arial"/>
          <w:sz w:val="20"/>
          <w:szCs w:val="20"/>
        </w:rPr>
        <w:t xml:space="preserve"> 2 điều 10</w:t>
      </w:r>
      <w:r>
        <w:rPr>
          <w:rFonts w:ascii="Arial" w:hAnsi="Arial" w:cs="Arial"/>
          <w:sz w:val="20"/>
          <w:szCs w:val="20"/>
        </w:rPr>
        <w:t xml:space="preserve"> </w:t>
      </w:r>
      <w:r w:rsidR="006B2D21" w:rsidRPr="0072496D">
        <w:rPr>
          <w:rFonts w:ascii="Arial" w:hAnsi="Arial" w:cs="Arial"/>
          <w:sz w:val="20"/>
          <w:szCs w:val="20"/>
        </w:rPr>
        <w:t xml:space="preserve">điều lệ quỹ </w:t>
      </w:r>
      <w:r>
        <w:rPr>
          <w:rFonts w:ascii="Arial" w:hAnsi="Arial" w:cs="Arial"/>
          <w:sz w:val="20"/>
          <w:szCs w:val="20"/>
        </w:rPr>
        <w:t>ngoại trừ điểm g,</w:t>
      </w:r>
      <w:r w:rsidR="004723EE">
        <w:rPr>
          <w:rFonts w:ascii="Arial" w:hAnsi="Arial" w:cs="Arial"/>
          <w:sz w:val="20"/>
          <w:szCs w:val="20"/>
        </w:rPr>
        <w:t xml:space="preserve"> </w:t>
      </w:r>
      <w:r>
        <w:rPr>
          <w:rFonts w:ascii="Arial" w:hAnsi="Arial" w:cs="Arial"/>
          <w:sz w:val="20"/>
          <w:szCs w:val="20"/>
        </w:rPr>
        <w:t xml:space="preserve">h và </w:t>
      </w:r>
      <w:r w:rsidR="004723EE">
        <w:rPr>
          <w:rFonts w:ascii="Arial" w:hAnsi="Arial" w:cs="Arial"/>
          <w:sz w:val="20"/>
          <w:szCs w:val="20"/>
        </w:rPr>
        <w:t xml:space="preserve">I, </w:t>
      </w:r>
      <w:r>
        <w:rPr>
          <w:rFonts w:ascii="Arial" w:hAnsi="Arial" w:cs="Arial"/>
          <w:sz w:val="20"/>
          <w:szCs w:val="20"/>
        </w:rPr>
        <w:t>nhưng chỉ vì các lý do sau:</w:t>
      </w:r>
    </w:p>
    <w:p w:rsidR="0047763A" w:rsidRPr="0072496D" w:rsidRDefault="008A382A" w:rsidP="0047763A">
      <w:pPr>
        <w:pStyle w:val="ListParagraph"/>
        <w:widowControl w:val="0"/>
        <w:numPr>
          <w:ilvl w:val="0"/>
          <w:numId w:val="27"/>
        </w:numPr>
        <w:spacing w:after="0" w:line="360" w:lineRule="auto"/>
        <w:jc w:val="both"/>
        <w:rPr>
          <w:rFonts w:ascii="Arial" w:hAnsi="Arial" w:cs="Arial"/>
          <w:sz w:val="20"/>
          <w:szCs w:val="20"/>
        </w:rPr>
      </w:pPr>
      <w:r>
        <w:rPr>
          <w:rFonts w:ascii="Arial" w:hAnsi="Arial" w:cs="Arial"/>
          <w:sz w:val="20"/>
          <w:szCs w:val="20"/>
        </w:rPr>
        <w:t>Biến động giá trên thị trường của các tài sản trong danh mục đầu tư của Quỹ;</w:t>
      </w:r>
    </w:p>
    <w:p w:rsidR="0047763A" w:rsidRPr="0072496D" w:rsidRDefault="008A382A" w:rsidP="0047763A">
      <w:pPr>
        <w:pStyle w:val="ListParagraph"/>
        <w:widowControl w:val="0"/>
        <w:numPr>
          <w:ilvl w:val="0"/>
          <w:numId w:val="27"/>
        </w:numPr>
        <w:spacing w:after="0" w:line="360" w:lineRule="auto"/>
        <w:jc w:val="both"/>
        <w:rPr>
          <w:rFonts w:ascii="Arial" w:hAnsi="Arial" w:cs="Arial"/>
          <w:sz w:val="20"/>
          <w:szCs w:val="20"/>
        </w:rPr>
      </w:pPr>
      <w:r>
        <w:rPr>
          <w:rFonts w:ascii="Arial" w:hAnsi="Arial" w:cs="Arial"/>
          <w:sz w:val="20"/>
          <w:szCs w:val="20"/>
          <w:lang w:val="vi-VN"/>
        </w:rPr>
        <w:lastRenderedPageBreak/>
        <w:t xml:space="preserve"> </w:t>
      </w:r>
      <w:r>
        <w:rPr>
          <w:rFonts w:ascii="Arial" w:hAnsi="Arial" w:cs="Arial"/>
          <w:sz w:val="20"/>
          <w:szCs w:val="20"/>
        </w:rPr>
        <w:t>Thực hiện các khoản thanh toán phù hợp với Pháp Luật của Quỹ;</w:t>
      </w:r>
    </w:p>
    <w:p w:rsidR="0047763A" w:rsidRPr="0072496D" w:rsidRDefault="008A382A" w:rsidP="0047763A">
      <w:pPr>
        <w:widowControl w:val="0"/>
        <w:numPr>
          <w:ilvl w:val="0"/>
          <w:numId w:val="27"/>
        </w:numPr>
        <w:spacing w:after="0" w:line="360" w:lineRule="auto"/>
        <w:jc w:val="both"/>
        <w:rPr>
          <w:rFonts w:ascii="Arial" w:hAnsi="Arial" w:cs="Arial"/>
          <w:sz w:val="20"/>
          <w:szCs w:val="20"/>
        </w:rPr>
      </w:pPr>
      <w:r>
        <w:rPr>
          <w:rFonts w:ascii="Arial" w:hAnsi="Arial" w:cs="Arial"/>
          <w:sz w:val="20"/>
          <w:szCs w:val="20"/>
        </w:rPr>
        <w:t xml:space="preserve">Thực hiện các lệnh giao dịch của nhà đầu tư; </w:t>
      </w:r>
    </w:p>
    <w:p w:rsidR="0047763A" w:rsidRPr="0072496D" w:rsidRDefault="008A382A" w:rsidP="0047763A">
      <w:pPr>
        <w:widowControl w:val="0"/>
        <w:numPr>
          <w:ilvl w:val="0"/>
          <w:numId w:val="27"/>
        </w:numPr>
        <w:spacing w:after="0" w:line="360" w:lineRule="auto"/>
        <w:jc w:val="both"/>
        <w:rPr>
          <w:rFonts w:ascii="Arial" w:hAnsi="Arial" w:cs="Arial"/>
          <w:sz w:val="20"/>
          <w:szCs w:val="20"/>
        </w:rPr>
      </w:pPr>
      <w:r>
        <w:rPr>
          <w:rFonts w:ascii="Arial" w:hAnsi="Arial" w:cs="Arial"/>
          <w:sz w:val="20"/>
          <w:szCs w:val="20"/>
        </w:rPr>
        <w:t>Các hoạt động sáp nhập, hợp nhất và thâu tóm của các tổ chức phát hành các chứng khoán mà Quỹ đang nắm giữ;</w:t>
      </w:r>
    </w:p>
    <w:p w:rsidR="0047763A" w:rsidRPr="0072496D" w:rsidRDefault="008A382A" w:rsidP="0047763A">
      <w:pPr>
        <w:widowControl w:val="0"/>
        <w:numPr>
          <w:ilvl w:val="0"/>
          <w:numId w:val="27"/>
        </w:numPr>
        <w:spacing w:after="0" w:line="360" w:lineRule="auto"/>
        <w:jc w:val="both"/>
        <w:rPr>
          <w:rFonts w:ascii="Arial" w:hAnsi="Arial" w:cs="Arial"/>
          <w:sz w:val="20"/>
          <w:szCs w:val="20"/>
        </w:rPr>
      </w:pPr>
      <w:r>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47763A" w:rsidRPr="0072496D" w:rsidRDefault="008A382A" w:rsidP="0047763A">
      <w:pPr>
        <w:widowControl w:val="0"/>
        <w:numPr>
          <w:ilvl w:val="0"/>
          <w:numId w:val="27"/>
        </w:numPr>
        <w:spacing w:after="0" w:line="360" w:lineRule="auto"/>
        <w:jc w:val="both"/>
        <w:rPr>
          <w:rFonts w:ascii="Arial" w:hAnsi="Arial" w:cs="Arial"/>
          <w:sz w:val="20"/>
          <w:szCs w:val="20"/>
        </w:rPr>
      </w:pPr>
      <w:r>
        <w:rPr>
          <w:rFonts w:ascii="Arial" w:hAnsi="Arial" w:cs="Arial"/>
          <w:sz w:val="20"/>
          <w:szCs w:val="20"/>
        </w:rPr>
        <w:t>Quỹ đang trong thời gian giải thể.</w:t>
      </w:r>
    </w:p>
    <w:p w:rsidR="0047763A" w:rsidRPr="0072496D" w:rsidRDefault="008A382A" w:rsidP="0047763A">
      <w:pPr>
        <w:pStyle w:val="ListParagraph"/>
        <w:numPr>
          <w:ilvl w:val="0"/>
          <w:numId w:val="26"/>
        </w:numPr>
        <w:tabs>
          <w:tab w:val="left" w:pos="720"/>
        </w:tabs>
        <w:spacing w:before="120" w:after="120" w:line="360" w:lineRule="auto"/>
        <w:jc w:val="both"/>
        <w:rPr>
          <w:rFonts w:ascii="Arial" w:hAnsi="Arial" w:cs="Arial"/>
          <w:sz w:val="20"/>
          <w:szCs w:val="20"/>
        </w:rPr>
      </w:pPr>
      <w:r>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47763A" w:rsidRPr="0072496D" w:rsidRDefault="008A382A" w:rsidP="0072496D">
      <w:pPr>
        <w:pStyle w:val="ListParagraph"/>
        <w:numPr>
          <w:ilvl w:val="0"/>
          <w:numId w:val="26"/>
        </w:numPr>
        <w:tabs>
          <w:tab w:val="left" w:pos="720"/>
        </w:tabs>
        <w:spacing w:before="120" w:after="120" w:line="360" w:lineRule="auto"/>
        <w:jc w:val="both"/>
        <w:rPr>
          <w:rFonts w:ascii="Arial" w:hAnsi="Arial" w:cs="Arial"/>
          <w:sz w:val="20"/>
          <w:szCs w:val="20"/>
        </w:rPr>
      </w:pPr>
      <w:r>
        <w:rPr>
          <w:rFonts w:ascii="Arial" w:hAnsi="Arial" w:cs="Arial"/>
          <w:sz w:val="20"/>
          <w:szCs w:val="20"/>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4723EE" w:rsidRDefault="008A382A" w:rsidP="00AA2399">
      <w:pPr>
        <w:spacing w:before="120" w:after="120" w:line="360" w:lineRule="auto"/>
        <w:ind w:left="709" w:hanging="709"/>
        <w:jc w:val="both"/>
        <w:rPr>
          <w:rFonts w:ascii="Arial" w:hAnsi="Arial" w:cs="Arial"/>
          <w:b/>
          <w:sz w:val="20"/>
          <w:szCs w:val="20"/>
        </w:rPr>
      </w:pPr>
      <w:r>
        <w:rPr>
          <w:rFonts w:ascii="Arial" w:hAnsi="Arial" w:cs="Arial"/>
          <w:b/>
          <w:sz w:val="20"/>
          <w:szCs w:val="20"/>
        </w:rPr>
        <w:t>2.</w:t>
      </w:r>
      <w:r>
        <w:rPr>
          <w:rFonts w:ascii="Arial" w:hAnsi="Arial" w:cs="Arial"/>
          <w:b/>
          <w:sz w:val="20"/>
          <w:szCs w:val="20"/>
        </w:rPr>
        <w:tab/>
        <w:t>Kỳ kế toán, đơn vị tiền tệ sử dụng trong kế toán</w:t>
      </w:r>
    </w:p>
    <w:p w:rsidR="00B71FF1" w:rsidRPr="0072496D" w:rsidRDefault="008A382A" w:rsidP="00AA2399">
      <w:pPr>
        <w:spacing w:before="120" w:after="120" w:line="360" w:lineRule="auto"/>
        <w:ind w:left="709" w:hanging="709"/>
        <w:jc w:val="both"/>
        <w:rPr>
          <w:rFonts w:ascii="Arial" w:hAnsi="Arial" w:cs="Arial"/>
          <w:b/>
          <w:i/>
          <w:sz w:val="20"/>
          <w:szCs w:val="20"/>
        </w:rPr>
      </w:pPr>
      <w:r>
        <w:rPr>
          <w:rFonts w:ascii="Arial" w:hAnsi="Arial" w:cs="Arial"/>
          <w:b/>
          <w:i/>
          <w:sz w:val="20"/>
          <w:szCs w:val="20"/>
        </w:rPr>
        <w:t xml:space="preserve">2.1 </w:t>
      </w:r>
      <w:r>
        <w:rPr>
          <w:rFonts w:ascii="Arial" w:hAnsi="Arial" w:cs="Arial"/>
          <w:b/>
          <w:i/>
          <w:sz w:val="20"/>
          <w:szCs w:val="20"/>
        </w:rPr>
        <w:tab/>
        <w:t xml:space="preserve">Kỳ kế toán </w:t>
      </w:r>
    </w:p>
    <w:p w:rsidR="009B6195" w:rsidRPr="0072496D" w:rsidRDefault="008A382A" w:rsidP="00E43706">
      <w:pPr>
        <w:spacing w:before="120" w:after="120" w:line="360" w:lineRule="auto"/>
        <w:ind w:left="709"/>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Năm tài chính của quỹ bắt đầu từ ngày 01 tháng 01 và kết thúc ngày 31 tháng 12 hàng năm. </w:t>
      </w:r>
    </w:p>
    <w:p w:rsidR="00B71FF1" w:rsidRPr="0072496D" w:rsidRDefault="008A382A" w:rsidP="00E43706">
      <w:pPr>
        <w:spacing w:before="120" w:after="120" w:line="360" w:lineRule="auto"/>
        <w:ind w:left="706" w:hanging="709"/>
        <w:jc w:val="both"/>
        <w:rPr>
          <w:rFonts w:ascii="Arial" w:hAnsi="Arial" w:cs="Arial"/>
          <w:b/>
          <w:i/>
          <w:sz w:val="20"/>
          <w:szCs w:val="20"/>
        </w:rPr>
      </w:pPr>
      <w:r>
        <w:rPr>
          <w:rFonts w:ascii="Arial" w:hAnsi="Arial" w:cs="Arial"/>
          <w:b/>
          <w:i/>
          <w:sz w:val="20"/>
          <w:szCs w:val="20"/>
        </w:rPr>
        <w:t>2.2</w:t>
      </w:r>
      <w:r>
        <w:rPr>
          <w:rFonts w:ascii="Arial" w:hAnsi="Arial" w:cs="Arial"/>
          <w:b/>
          <w:i/>
          <w:sz w:val="20"/>
          <w:szCs w:val="20"/>
        </w:rPr>
        <w:tab/>
        <w:t xml:space="preserve"> Đơn vị tiền tệ sử dụng trong kế toán: </w:t>
      </w:r>
    </w:p>
    <w:p w:rsidR="002D160D" w:rsidRPr="0072496D" w:rsidRDefault="008A382A" w:rsidP="00E43706">
      <w:pPr>
        <w:pStyle w:val="ListParagraph"/>
        <w:spacing w:before="120" w:after="120" w:line="360" w:lineRule="auto"/>
        <w:jc w:val="both"/>
        <w:rPr>
          <w:rFonts w:ascii="Arial" w:hAnsi="Arial" w:cs="Arial"/>
          <w:sz w:val="20"/>
          <w:szCs w:val="20"/>
        </w:rPr>
      </w:pPr>
      <w:r>
        <w:rPr>
          <w:rFonts w:ascii="Arial" w:hAnsi="Arial" w:cs="Arial"/>
          <w:sz w:val="20"/>
          <w:szCs w:val="20"/>
        </w:rPr>
        <w:t xml:space="preserve">Đơn vị tiền tệ sử dụng trong kế toán và trình bày báo cáo tài chính là đồng Việt Nam (“VND”). </w:t>
      </w:r>
    </w:p>
    <w:p w:rsidR="00B71FF1" w:rsidRPr="0072496D"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Chuẩn mực và Chế độ kế toán áp dụng</w:t>
      </w:r>
    </w:p>
    <w:p w:rsidR="00B71FF1" w:rsidRPr="0072496D" w:rsidRDefault="008A382A" w:rsidP="00E43706">
      <w:pPr>
        <w:spacing w:before="120" w:after="120" w:line="360" w:lineRule="auto"/>
        <w:ind w:left="360" w:hanging="360"/>
        <w:jc w:val="both"/>
        <w:rPr>
          <w:rFonts w:ascii="Arial" w:hAnsi="Arial" w:cs="Arial"/>
          <w:b/>
          <w:i/>
          <w:sz w:val="20"/>
          <w:szCs w:val="20"/>
        </w:rPr>
      </w:pPr>
      <w:r>
        <w:rPr>
          <w:rFonts w:ascii="Arial" w:hAnsi="Arial" w:cs="Arial"/>
          <w:b/>
          <w:i/>
          <w:sz w:val="20"/>
          <w:szCs w:val="20"/>
        </w:rPr>
        <w:t xml:space="preserve">3.1 </w:t>
      </w:r>
      <w:r>
        <w:rPr>
          <w:rFonts w:ascii="Arial" w:hAnsi="Arial" w:cs="Arial"/>
          <w:b/>
          <w:i/>
          <w:sz w:val="20"/>
          <w:szCs w:val="20"/>
        </w:rPr>
        <w:tab/>
      </w:r>
      <w:r>
        <w:rPr>
          <w:rFonts w:ascii="Arial" w:hAnsi="Arial" w:cs="Arial"/>
          <w:b/>
          <w:i/>
          <w:sz w:val="20"/>
          <w:szCs w:val="20"/>
        </w:rPr>
        <w:tab/>
        <w:t xml:space="preserve">Chế độ kế toán áp dụng </w:t>
      </w:r>
    </w:p>
    <w:p w:rsidR="00066216"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Quỹ áp dụng Chế độ Kế toán Quỹ Đầu tư Chứng khoán ban hành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Thông tư số 198/2012/TT-BTC ngày 15/11/2012 của Bộ trưởng Bộ Tài chính và theo các chuẩn mực kế toán, hệ thống kế toán Việt Nam.</w:t>
      </w:r>
    </w:p>
    <w:p w:rsidR="00B71FF1" w:rsidRPr="0072496D" w:rsidRDefault="008A382A" w:rsidP="00AA2399">
      <w:pPr>
        <w:spacing w:before="120" w:after="120" w:line="360" w:lineRule="auto"/>
        <w:ind w:left="360" w:hanging="360"/>
        <w:jc w:val="both"/>
        <w:rPr>
          <w:rFonts w:ascii="Arial" w:eastAsia="Times New Roman" w:hAnsi="Arial" w:cs="Arial"/>
          <w:b/>
          <w:i/>
          <w:sz w:val="20"/>
          <w:szCs w:val="20"/>
        </w:rPr>
      </w:pPr>
      <w:r>
        <w:rPr>
          <w:rFonts w:ascii="Arial" w:eastAsia="Times New Roman" w:hAnsi="Arial" w:cs="Arial"/>
          <w:b/>
          <w:i/>
          <w:sz w:val="20"/>
          <w:szCs w:val="20"/>
        </w:rPr>
        <w:t xml:space="preserve">3.2 </w:t>
      </w:r>
      <w:r>
        <w:rPr>
          <w:rFonts w:ascii="Arial" w:eastAsia="Times New Roman" w:hAnsi="Arial" w:cs="Arial"/>
          <w:b/>
          <w:i/>
          <w:sz w:val="20"/>
          <w:szCs w:val="20"/>
        </w:rPr>
        <w:tab/>
      </w:r>
      <w:r>
        <w:rPr>
          <w:rFonts w:ascii="Arial" w:eastAsia="Times New Roman" w:hAnsi="Arial" w:cs="Arial"/>
          <w:b/>
          <w:i/>
          <w:sz w:val="20"/>
          <w:szCs w:val="20"/>
        </w:rPr>
        <w:tab/>
        <w:t xml:space="preserve">Tuyên bố về việc tuân thủ Chuẩn mực kế toán và Chế độ kế toán </w:t>
      </w:r>
    </w:p>
    <w:p w:rsidR="001160CE" w:rsidRPr="0072496D" w:rsidRDefault="008A382A" w:rsidP="00AA2399">
      <w:pPr>
        <w:spacing w:before="120" w:after="120" w:line="360" w:lineRule="auto"/>
        <w:ind w:left="720"/>
        <w:jc w:val="both"/>
        <w:rPr>
          <w:rFonts w:ascii="Arial" w:eastAsia="Times New Roman" w:hAnsi="Arial" w:cs="Arial"/>
          <w:sz w:val="20"/>
          <w:szCs w:val="20"/>
        </w:rPr>
      </w:pPr>
      <w:r>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Pr>
          <w:rFonts w:ascii="Arial" w:eastAsia="Times New Roman" w:hAnsi="Arial" w:cs="Arial"/>
          <w:sz w:val="20"/>
          <w:szCs w:val="20"/>
        </w:rPr>
        <w:t>,</w:t>
      </w:r>
      <w:r>
        <w:rPr>
          <w:rFonts w:ascii="Arial" w:eastAsia="Times New Roman" w:hAnsi="Arial" w:cs="Arial"/>
          <w:sz w:val="20"/>
          <w:szCs w:val="20"/>
        </w:rPr>
        <w:t xml:space="preserve"> </w:t>
      </w:r>
      <w:r w:rsidR="006D162B">
        <w:rPr>
          <w:rFonts w:ascii="Arial" w:eastAsia="Times New Roman" w:hAnsi="Arial" w:cs="Arial"/>
          <w:bCs/>
          <w:sz w:val="20"/>
          <w:szCs w:val="20"/>
          <w:lang w:eastAsia="en-GB"/>
        </w:rPr>
        <w:t>Thông tư số 181/2015/TT-BTC ngày 13/11/2015 của Bộ Tài Chính,</w:t>
      </w:r>
      <w:r w:rsidR="006D162B">
        <w:rPr>
          <w:rFonts w:ascii="Arial" w:eastAsia="Times New Roman" w:hAnsi="Arial" w:cs="Arial"/>
          <w:sz w:val="20"/>
          <w:szCs w:val="20"/>
        </w:rPr>
        <w:t xml:space="preserve"> T</w:t>
      </w:r>
      <w:r>
        <w:rPr>
          <w:rFonts w:ascii="Arial" w:eastAsia="Times New Roman" w:hAnsi="Arial" w:cs="Arial"/>
          <w:sz w:val="20"/>
          <w:szCs w:val="20"/>
        </w:rPr>
        <w:t xml:space="preserve">hông tư 183/2011/TT-BTC ngày 16 tháng 12 năm 2011 của Bộ Tài Chính, </w:t>
      </w:r>
      <w:r w:rsidR="006D162B">
        <w:rPr>
          <w:rFonts w:ascii="Arial" w:eastAsia="Times New Roman" w:hAnsi="Arial" w:cs="Arial"/>
          <w:sz w:val="20"/>
          <w:szCs w:val="20"/>
        </w:rPr>
        <w:t xml:space="preserve">và </w:t>
      </w:r>
      <w:r>
        <w:rPr>
          <w:rFonts w:ascii="Arial" w:eastAsia="Times New Roman" w:hAnsi="Arial" w:cs="Arial"/>
          <w:sz w:val="20"/>
          <w:szCs w:val="20"/>
        </w:rPr>
        <w:t>Thông tư 15/2016/TT-BTC sửa đổi, bổ sung một số điều của Thông tư 183/2011/TT-BTC.</w:t>
      </w:r>
    </w:p>
    <w:p w:rsidR="00B71FF1" w:rsidRPr="0072496D" w:rsidRDefault="008A382A" w:rsidP="00AA2399">
      <w:pPr>
        <w:spacing w:before="120" w:after="120" w:line="360" w:lineRule="auto"/>
        <w:jc w:val="both"/>
        <w:rPr>
          <w:rFonts w:ascii="Arial" w:eastAsia="Times New Roman" w:hAnsi="Arial" w:cs="Arial"/>
          <w:b/>
          <w:i/>
          <w:sz w:val="20"/>
          <w:szCs w:val="20"/>
        </w:rPr>
      </w:pPr>
      <w:r>
        <w:rPr>
          <w:rFonts w:ascii="Arial" w:eastAsia="Times New Roman" w:hAnsi="Arial" w:cs="Arial"/>
          <w:b/>
          <w:i/>
          <w:sz w:val="20"/>
          <w:szCs w:val="20"/>
        </w:rPr>
        <w:t xml:space="preserve">3.3 </w:t>
      </w:r>
      <w:r>
        <w:rPr>
          <w:rFonts w:ascii="Arial" w:eastAsia="Times New Roman" w:hAnsi="Arial" w:cs="Arial"/>
          <w:b/>
          <w:i/>
          <w:sz w:val="20"/>
          <w:szCs w:val="20"/>
        </w:rPr>
        <w:tab/>
        <w:t>Hình thức kế toán áp dụng</w:t>
      </w:r>
    </w:p>
    <w:p w:rsidR="00B75203" w:rsidRPr="0072496D" w:rsidRDefault="008A382A" w:rsidP="005E0718">
      <w:pPr>
        <w:spacing w:before="120" w:after="12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Hình thức sổ kế toán áp dụng được đăng ký của Quỹ là nhật ký </w:t>
      </w:r>
      <w:proofErr w:type="gramStart"/>
      <w:r>
        <w:rPr>
          <w:rFonts w:ascii="Arial" w:eastAsia="Times New Roman" w:hAnsi="Arial" w:cs="Arial"/>
          <w:sz w:val="20"/>
          <w:szCs w:val="20"/>
        </w:rPr>
        <w:t>chung</w:t>
      </w:r>
      <w:proofErr w:type="gramEnd"/>
      <w:r>
        <w:rPr>
          <w:rFonts w:ascii="Arial" w:eastAsia="Times New Roman" w:hAnsi="Arial" w:cs="Arial"/>
          <w:sz w:val="20"/>
          <w:szCs w:val="20"/>
        </w:rPr>
        <w:t>.</w:t>
      </w:r>
    </w:p>
    <w:p w:rsidR="00B71FF1" w:rsidRPr="0072496D"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Các chính sách kế toán áp dụng</w:t>
      </w:r>
    </w:p>
    <w:p w:rsidR="00B71FF1" w:rsidRPr="0072496D"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Pr>
          <w:rFonts w:ascii="Arial" w:hAnsi="Arial" w:cs="Arial"/>
          <w:b/>
          <w:i/>
          <w:sz w:val="20"/>
          <w:szCs w:val="20"/>
        </w:rPr>
        <w:t>Tiền và các khoản tương đương tiền</w:t>
      </w:r>
    </w:p>
    <w:p w:rsidR="00B71FF1" w:rsidRPr="0072496D" w:rsidRDefault="008A382A" w:rsidP="00AA2399">
      <w:pPr>
        <w:spacing w:before="120" w:after="120" w:line="360" w:lineRule="auto"/>
        <w:ind w:left="720"/>
        <w:jc w:val="both"/>
        <w:rPr>
          <w:rFonts w:ascii="Arial" w:hAnsi="Arial" w:cs="Arial"/>
          <w:sz w:val="20"/>
          <w:szCs w:val="20"/>
        </w:rPr>
      </w:pPr>
      <w:r>
        <w:rPr>
          <w:rFonts w:ascii="Arial" w:hAnsi="Arial" w:cs="Arial"/>
          <w:sz w:val="20"/>
          <w:szCs w:val="20"/>
        </w:rPr>
        <w:lastRenderedPageBreak/>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72496D"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Pr>
          <w:rFonts w:ascii="Arial" w:hAnsi="Arial" w:cs="Arial"/>
          <w:b/>
          <w:i/>
          <w:sz w:val="20"/>
          <w:szCs w:val="20"/>
        </w:rPr>
        <w:t xml:space="preserve">Các khoản đầu tư </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Nguyên tắc phân loại</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Ghi nhận ban đầu</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ghi nhận các khoản đầu tư chứng khoán tại ngày giao dịch.</w:t>
      </w:r>
      <w:proofErr w:type="gramEnd"/>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Ghi nhận tiếp </w:t>
      </w:r>
      <w:proofErr w:type="gramStart"/>
      <w:r>
        <w:rPr>
          <w:rFonts w:ascii="Arial" w:eastAsia="Times New Roman" w:hAnsi="Arial" w:cs="Arial"/>
          <w:bCs/>
          <w:i/>
          <w:sz w:val="20"/>
          <w:szCs w:val="20"/>
          <w:lang w:eastAsia="en-GB"/>
        </w:rPr>
        <w:t>theo</w:t>
      </w:r>
      <w:proofErr w:type="gramEnd"/>
    </w:p>
    <w:p w:rsidR="00174764" w:rsidRPr="0072496D" w:rsidRDefault="008A382A" w:rsidP="00174764">
      <w:pPr>
        <w:pStyle w:val="BodyText"/>
        <w:spacing w:before="120" w:line="276" w:lineRule="auto"/>
        <w:ind w:left="720"/>
        <w:rPr>
          <w:rFonts w:ascii="Arial" w:eastAsiaTheme="minorHAnsi" w:hAnsi="Arial" w:cs="Arial"/>
          <w:lang w:val="es-MX"/>
        </w:rPr>
      </w:pPr>
      <w:r>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Tiền gửi có kỳ hạn, chứng chỉ tiền gửi được ghi nhận theo giá gốc</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Cổ phiếu niêm yết, chưa niêm yết được ghi nhận theo giá trị hợp lý của các cổ phiếu này</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Trái phiếu niêm yết được ghi nhận theo giá trị hợp lý của các trái phiếu này.</w:t>
      </w:r>
    </w:p>
    <w:p w:rsidR="00174764" w:rsidRPr="0072496D" w:rsidRDefault="008A382A" w:rsidP="00174764">
      <w:pPr>
        <w:pStyle w:val="BodyTextIndent"/>
        <w:spacing w:before="120"/>
        <w:ind w:left="720"/>
        <w:jc w:val="both"/>
        <w:rPr>
          <w:rFonts w:ascii="Arial" w:hAnsi="Arial" w:cs="Arial"/>
          <w:sz w:val="20"/>
          <w:szCs w:val="20"/>
          <w:lang w:val="es-MX"/>
        </w:rPr>
      </w:pPr>
      <w:r>
        <w:rPr>
          <w:rFonts w:ascii="Arial" w:hAnsi="Arial" w:cs="Arial"/>
          <w:sz w:val="20"/>
          <w:szCs w:val="20"/>
          <w:lang w:val="es-MX"/>
        </w:rPr>
        <w:t>Giá trị hợp lý được xác định theo các nguyên tắc định giá được trình bày dưới đây.</w:t>
      </w:r>
    </w:p>
    <w:p w:rsidR="00174764" w:rsidRPr="0072496D" w:rsidRDefault="008A382A" w:rsidP="00174764">
      <w:pPr>
        <w:pStyle w:val="BodyText"/>
        <w:spacing w:before="120" w:after="120" w:line="276" w:lineRule="auto"/>
        <w:ind w:left="720"/>
        <w:rPr>
          <w:rFonts w:ascii="Arial" w:hAnsi="Arial" w:cs="Arial"/>
          <w:lang w:val="en-US"/>
        </w:rPr>
      </w:pPr>
      <w:proofErr w:type="gramStart"/>
      <w:r>
        <w:rPr>
          <w:rFonts w:ascii="Arial" w:hAnsi="Arial" w:cs="Arial"/>
          <w:lang w:val="en-US"/>
        </w:rPr>
        <w:t>Lợi nhuận thuần nhận được từ các khoản đầu tư phát sinh sau ngày đầu tư được ghi nhận vào báo cáo kết quả hoạt động.</w:t>
      </w:r>
      <w:proofErr w:type="gramEnd"/>
    </w:p>
    <w:p w:rsidR="00174764" w:rsidRPr="0072496D" w:rsidRDefault="008A382A" w:rsidP="00174764">
      <w:pPr>
        <w:spacing w:before="120" w:after="120" w:line="360" w:lineRule="auto"/>
        <w:ind w:left="720"/>
        <w:jc w:val="both"/>
        <w:rPr>
          <w:rFonts w:ascii="Arial" w:eastAsia="Times New Roman" w:hAnsi="Arial" w:cs="Arial"/>
          <w:bCs/>
          <w:sz w:val="20"/>
          <w:szCs w:val="20"/>
          <w:lang w:eastAsia="en-GB"/>
        </w:rPr>
      </w:pPr>
      <w:r>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Định giá lại cho mục đích tính toán giá trị tài sản ròng của Quỹ</w:t>
      </w:r>
    </w:p>
    <w:p w:rsidR="002D160D" w:rsidRPr="0072496D" w:rsidRDefault="008A382A" w:rsidP="009E4546">
      <w:pPr>
        <w:spacing w:before="120" w:after="120" w:line="360" w:lineRule="auto"/>
        <w:ind w:left="720"/>
        <w:jc w:val="both"/>
        <w:rPr>
          <w:rFonts w:ascii="Arial" w:eastAsia="Times New Roman" w:hAnsi="Arial" w:cs="Arial"/>
          <w:sz w:val="20"/>
          <w:szCs w:val="20"/>
        </w:rPr>
      </w:pPr>
      <w:r>
        <w:rPr>
          <w:rFonts w:ascii="Arial" w:eastAsia="Times New Roman" w:hAnsi="Arial" w:cs="Arial"/>
          <w:bCs/>
          <w:sz w:val="20"/>
          <w:szCs w:val="20"/>
          <w:lang w:eastAsia="en-GB"/>
        </w:rPr>
        <w:t xml:space="preserve">Các khoản đầu tư được đánh giá lại vào các ngày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Pr>
          <w:rFonts w:ascii="Arial" w:eastAsia="Times New Roman" w:hAnsi="Arial" w:cs="Arial"/>
          <w:sz w:val="20"/>
          <w:szCs w:val="20"/>
        </w:rPr>
        <w:t>Thông tư 15/2016/TT-BTC sửa đổi, bổ sung một số điều của Thông tư 183/2011/TT-BTC</w:t>
      </w:r>
      <w:r>
        <w:rPr>
          <w:rFonts w:ascii="Arial" w:eastAsia="Times New Roman" w:hAnsi="Arial" w:cs="Arial"/>
          <w:bCs/>
          <w:sz w:val="20"/>
          <w:szCs w:val="20"/>
          <w:lang w:eastAsia="en-GB"/>
        </w:rPr>
        <w:t xml:space="preserve"> và được Ban Đại diện Quỹ phê duyệt.</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Nguyên tắc định giá </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Các khoản đầu tư của Quỹ được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các nguyên tắc và phương pháp quy định trong Sổ tay Định giá như sau:</w:t>
      </w:r>
    </w:p>
    <w:p w:rsidR="00FE0203" w:rsidRPr="0072496D" w:rsidRDefault="008A382A" w:rsidP="00FE0203">
      <w:pPr>
        <w:pStyle w:val="BodyText"/>
        <w:numPr>
          <w:ilvl w:val="0"/>
          <w:numId w:val="13"/>
        </w:numPr>
        <w:spacing w:before="120" w:after="120" w:line="360" w:lineRule="auto"/>
        <w:ind w:left="1077" w:hanging="357"/>
        <w:rPr>
          <w:rFonts w:ascii="Arial" w:hAnsi="Arial" w:cs="Arial"/>
          <w:i/>
          <w:lang w:val="en-US"/>
        </w:rPr>
      </w:pPr>
      <w:r>
        <w:rPr>
          <w:rFonts w:ascii="Arial" w:hAnsi="Arial" w:cs="Arial"/>
          <w:i/>
          <w:lang w:val="en-US"/>
        </w:rPr>
        <w:t>Tiền và các khoản tương đương tiền, công cụ thị trường tiền tệ:</w:t>
      </w:r>
    </w:p>
    <w:p w:rsidR="00FE0203" w:rsidRPr="0072496D" w:rsidRDefault="008A382A" w:rsidP="00FE0203">
      <w:pPr>
        <w:pStyle w:val="BodyText"/>
        <w:numPr>
          <w:ilvl w:val="0"/>
          <w:numId w:val="14"/>
        </w:numPr>
        <w:spacing w:before="120" w:after="120" w:line="360" w:lineRule="auto"/>
        <w:ind w:left="1530"/>
        <w:rPr>
          <w:rFonts w:ascii="Arial" w:hAnsi="Arial" w:cs="Arial"/>
          <w:lang w:val="en-US"/>
        </w:rPr>
      </w:pPr>
      <w:r>
        <w:rPr>
          <w:rFonts w:ascii="Arial" w:hAnsi="Arial" w:cs="Arial"/>
          <w:lang w:val="en-US"/>
        </w:rPr>
        <w:lastRenderedPageBreak/>
        <w:t xml:space="preserve">Tiền (VND): </w:t>
      </w:r>
      <w:r>
        <w:rPr>
          <w:rStyle w:val="BodyText1"/>
          <w:rFonts w:ascii="Arial" w:eastAsiaTheme="minorHAnsi" w:hAnsi="Arial" w:cs="Arial"/>
          <w:sz w:val="20"/>
          <w:szCs w:val="20"/>
        </w:rPr>
        <w:t>Số dư tiền mặt tại ngày trước Ngày Định Giá</w:t>
      </w:r>
    </w:p>
    <w:p w:rsidR="00FE0203" w:rsidRPr="0072496D" w:rsidRDefault="008A382A" w:rsidP="00FE0203">
      <w:pPr>
        <w:pStyle w:val="BodyText"/>
        <w:numPr>
          <w:ilvl w:val="0"/>
          <w:numId w:val="14"/>
        </w:numPr>
        <w:spacing w:before="120" w:after="120" w:line="360" w:lineRule="auto"/>
        <w:ind w:left="1530"/>
        <w:rPr>
          <w:rFonts w:ascii="Arial" w:hAnsi="Arial" w:cs="Arial"/>
          <w:lang w:val="en-US"/>
        </w:rPr>
      </w:pPr>
      <w:r w:rsidRPr="008A382A">
        <w:rPr>
          <w:rFonts w:ascii="Arial" w:hAnsi="Arial" w:cs="Arial"/>
          <w:lang w:val="en-US"/>
        </w:rPr>
        <w:t xml:space="preserve">Ngoại tệ: </w:t>
      </w:r>
      <w:r>
        <w:rPr>
          <w:rStyle w:val="BodyText1"/>
          <w:rFonts w:ascii="Arial" w:eastAsiaTheme="minorHAnsi" w:hAnsi="Arial" w:cs="Arial"/>
          <w:sz w:val="20"/>
          <w:szCs w:val="20"/>
        </w:rPr>
        <w:t>Giá trị quy đổi ra VND theo tỷ giá hiện hành tại các tổ chức tín dụng được phép kinh doanh ngoại hối tại ngày trước Ngày Định Giá</w:t>
      </w:r>
    </w:p>
    <w:p w:rsidR="00FE0203" w:rsidRPr="0072496D" w:rsidRDefault="008A382A" w:rsidP="00FE0203">
      <w:pPr>
        <w:pStyle w:val="BodyText"/>
        <w:numPr>
          <w:ilvl w:val="0"/>
          <w:numId w:val="14"/>
        </w:numPr>
        <w:spacing w:before="120" w:after="120" w:line="360" w:lineRule="auto"/>
        <w:ind w:left="1530"/>
        <w:rPr>
          <w:rFonts w:ascii="Arial" w:hAnsi="Arial" w:cs="Arial"/>
          <w:lang w:val="en-US"/>
        </w:rPr>
      </w:pPr>
      <w:r w:rsidRPr="008A382A">
        <w:rPr>
          <w:rFonts w:ascii="Arial" w:hAnsi="Arial" w:cs="Arial"/>
          <w:lang w:val="en-US"/>
        </w:rPr>
        <w:t xml:space="preserve">Tiền gửi kỳ hạn: </w:t>
      </w:r>
      <w:r>
        <w:rPr>
          <w:rStyle w:val="BodyText1"/>
          <w:rFonts w:ascii="Arial" w:eastAsiaTheme="minorHAnsi" w:hAnsi="Arial" w:cs="Arial"/>
          <w:sz w:val="20"/>
          <w:szCs w:val="20"/>
        </w:rPr>
        <w:t>Tiền gốc cộng lãi chưa được thanh toán tính tới ngày trước Ngày Định Giá</w:t>
      </w:r>
    </w:p>
    <w:p w:rsidR="00FE0203" w:rsidRPr="0072496D" w:rsidRDefault="008A382A" w:rsidP="00FE0203">
      <w:pPr>
        <w:pStyle w:val="BodyText"/>
        <w:numPr>
          <w:ilvl w:val="0"/>
          <w:numId w:val="14"/>
        </w:numPr>
        <w:spacing w:before="120" w:after="120" w:line="360" w:lineRule="auto"/>
        <w:ind w:left="1530"/>
        <w:rPr>
          <w:rFonts w:ascii="Arial" w:hAnsi="Arial" w:cs="Arial"/>
          <w:lang w:val="en-US"/>
        </w:rPr>
      </w:pPr>
      <w:r w:rsidRPr="008A382A">
        <w:rPr>
          <w:rFonts w:ascii="Arial" w:hAnsi="Arial" w:cs="Arial"/>
          <w:lang w:val="en-US"/>
        </w:rPr>
        <w:t xml:space="preserve">Tín phiếu kho bạc, hối phiếu ngân hàng, thương phiếu, chứng chỉ tiền gửi có thể chuyển nhượng, và các công cụ thị trường tiền tệ chiết khấu: </w:t>
      </w:r>
      <w:r>
        <w:rPr>
          <w:rStyle w:val="BodyText1"/>
          <w:rFonts w:ascii="Arial" w:eastAsiaTheme="minorHAnsi" w:hAnsi="Arial" w:cs="Arial"/>
          <w:sz w:val="20"/>
          <w:szCs w:val="20"/>
        </w:rPr>
        <w:t>Giá mua cộng với lãi lũy kế tính tới ngày trước Ngày Định Giá;</w:t>
      </w:r>
    </w:p>
    <w:p w:rsidR="00FE0203" w:rsidRPr="0072496D" w:rsidRDefault="008A382A" w:rsidP="00FE0203">
      <w:pPr>
        <w:pStyle w:val="BodyText"/>
        <w:numPr>
          <w:ilvl w:val="0"/>
          <w:numId w:val="13"/>
        </w:numPr>
        <w:spacing w:before="120" w:after="120" w:line="360" w:lineRule="auto"/>
        <w:ind w:left="1077" w:hanging="357"/>
        <w:rPr>
          <w:rFonts w:ascii="Arial" w:hAnsi="Arial" w:cs="Arial"/>
          <w:i/>
          <w:lang w:val="en-US"/>
        </w:rPr>
      </w:pPr>
      <w:r w:rsidRPr="008A382A">
        <w:rPr>
          <w:rFonts w:ascii="Arial" w:hAnsi="Arial" w:cs="Arial"/>
          <w:i/>
          <w:lang w:val="en-US"/>
        </w:rPr>
        <w:t>Trái phiếu</w:t>
      </w:r>
    </w:p>
    <w:p w:rsidR="00FE0203" w:rsidRPr="0072496D" w:rsidRDefault="008A382A" w:rsidP="00FE0203">
      <w:pPr>
        <w:pStyle w:val="BodyText"/>
        <w:numPr>
          <w:ilvl w:val="0"/>
          <w:numId w:val="15"/>
        </w:numPr>
        <w:spacing w:before="120" w:after="120" w:line="360" w:lineRule="auto"/>
        <w:ind w:left="1530"/>
        <w:rPr>
          <w:rFonts w:ascii="Arial" w:hAnsi="Arial" w:cs="Arial"/>
          <w:i/>
          <w:lang w:val="en-US"/>
        </w:rPr>
      </w:pPr>
      <w:r w:rsidRPr="008A382A">
        <w:rPr>
          <w:rFonts w:ascii="Arial" w:hAnsi="Arial" w:cs="Arial"/>
          <w:lang w:val="en-US"/>
        </w:rPr>
        <w:t>Trái phiếu niêm yết</w:t>
      </w:r>
    </w:p>
    <w:p w:rsidR="00F56487" w:rsidRPr="0072496D" w:rsidRDefault="008A382A" w:rsidP="00FE0203">
      <w:pPr>
        <w:pStyle w:val="BodyText"/>
        <w:numPr>
          <w:ilvl w:val="0"/>
          <w:numId w:val="17"/>
        </w:numPr>
        <w:spacing w:before="120" w:after="120" w:line="360" w:lineRule="auto"/>
        <w:ind w:left="1800" w:hanging="270"/>
        <w:rPr>
          <w:rFonts w:ascii="Arial" w:hAnsi="Arial" w:cs="Arial"/>
          <w:lang w:val="en-US"/>
        </w:rPr>
      </w:pPr>
      <w:r w:rsidRPr="008A382A">
        <w:rPr>
          <w:rFonts w:ascii="Arial" w:hAnsi="Arial" w:cs="Arial"/>
          <w:lang w:val="en-US"/>
        </w:rPr>
        <w:t>Giá thị trường là giá yết cuối ngày(*) (hoặc tên gọi khác theo quy chế của Sở giao dịch chứng khoán) của giao dịch thông thường tại ngày có giao dịch gần nhất trước ngày định giá cộng lãi lũy kế cụ thể như sau:</w:t>
      </w:r>
    </w:p>
    <w:p w:rsidR="00F56487" w:rsidRPr="0072496D" w:rsidRDefault="008A382A" w:rsidP="00F56487">
      <w:pPr>
        <w:pStyle w:val="BodyText"/>
        <w:numPr>
          <w:ilvl w:val="1"/>
          <w:numId w:val="17"/>
        </w:numPr>
        <w:spacing w:before="120" w:after="120" w:line="360" w:lineRule="auto"/>
        <w:rPr>
          <w:rFonts w:ascii="Arial" w:hAnsi="Arial" w:cs="Arial"/>
          <w:lang w:val="en-US"/>
        </w:rPr>
      </w:pPr>
      <w:r w:rsidRPr="008A382A">
        <w:rPr>
          <w:rFonts w:ascii="Arial" w:hAnsi="Arial" w:cs="Arial"/>
          <w:lang w:val="en-US"/>
        </w:rPr>
        <w:t>Trái phiếu niêm yết trên Sở Giao dịch Chứng khoán Hồ Chí Minh: Là giá sạch cuối ngày của trái phiếu trên hệ thống giao dịch tại Sở giao dịch chứng khoán tại ngày có giao dịch gần nhất trước Ngày Định Giá cộng lãi lũy kế.</w:t>
      </w:r>
    </w:p>
    <w:p w:rsidR="00F56487" w:rsidRPr="0072496D" w:rsidRDefault="008A382A" w:rsidP="00F56487">
      <w:pPr>
        <w:pStyle w:val="BodyText"/>
        <w:numPr>
          <w:ilvl w:val="1"/>
          <w:numId w:val="17"/>
        </w:numPr>
        <w:spacing w:before="120" w:after="120" w:line="360" w:lineRule="auto"/>
        <w:rPr>
          <w:rFonts w:ascii="Arial" w:hAnsi="Arial" w:cs="Arial"/>
          <w:lang w:val="en-US"/>
        </w:rPr>
      </w:pPr>
      <w:r w:rsidRPr="008A382A">
        <w:rPr>
          <w:rFonts w:ascii="Arial" w:hAnsi="Arial" w:cs="Arial"/>
          <w:lang w:val="en-US"/>
        </w:rPr>
        <w:t>Trái phiếu niêm yết trên Sở Giao dịch Chứng khoán Hà Nội: Là giá yết cuối ngày của giao dịch thông thường tại ngày có giao dịch gần nhất trước ngày định giá cộng lãi lũy kế.</w:t>
      </w:r>
    </w:p>
    <w:p w:rsidR="00F56487" w:rsidRPr="0072496D" w:rsidRDefault="008A382A" w:rsidP="00F56487">
      <w:pPr>
        <w:pStyle w:val="BodyText"/>
        <w:numPr>
          <w:ilvl w:val="0"/>
          <w:numId w:val="17"/>
        </w:numPr>
        <w:spacing w:before="120" w:after="120" w:line="360" w:lineRule="auto"/>
        <w:ind w:left="1800" w:hanging="270"/>
        <w:rPr>
          <w:rFonts w:ascii="Arial" w:hAnsi="Arial" w:cs="Arial"/>
          <w:lang w:val="en-US"/>
        </w:rPr>
      </w:pPr>
      <w:r w:rsidRPr="008A382A">
        <w:rPr>
          <w:rFonts w:ascii="Arial" w:hAnsi="Arial" w:cs="Arial"/>
          <w:lang w:val="en-US"/>
        </w:rPr>
        <w:t>Trường hợp không có giao dịch nhiều hơn hai (02) tuần tính đến ngày định giá hoặc giá thị trường có biến động lớn(**) thì giá trái phiếu được sử dụng để định giá là một trong các mức giá theo thứ tự ưu tiên sau:</w:t>
      </w:r>
    </w:p>
    <w:p w:rsidR="00F56487" w:rsidRPr="0072496D" w:rsidRDefault="008A382A" w:rsidP="00F56487">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cộng lãi lũy kế;</w:t>
      </w:r>
    </w:p>
    <w:p w:rsidR="00F56487" w:rsidRPr="0072496D" w:rsidRDefault="008A382A" w:rsidP="00F56487">
      <w:pPr>
        <w:pStyle w:val="BodyText"/>
        <w:numPr>
          <w:ilvl w:val="1"/>
          <w:numId w:val="17"/>
        </w:numPr>
        <w:spacing w:before="120" w:after="120" w:line="360" w:lineRule="auto"/>
        <w:rPr>
          <w:rFonts w:ascii="Arial" w:hAnsi="Arial" w:cs="Arial"/>
          <w:lang w:val="en-US"/>
        </w:rPr>
      </w:pPr>
      <w:r w:rsidRPr="008A382A">
        <w:rPr>
          <w:rFonts w:ascii="Arial" w:hAnsi="Arial" w:cs="Arial"/>
          <w:lang w:val="en-US"/>
        </w:rPr>
        <w:t>Mệnh giá cộng lãi lũy kế.</w:t>
      </w:r>
    </w:p>
    <w:p w:rsidR="00F56487" w:rsidRPr="0072496D" w:rsidRDefault="008A382A" w:rsidP="00F56487">
      <w:pPr>
        <w:pStyle w:val="ListParagraph"/>
        <w:widowControl w:val="0"/>
        <w:autoSpaceDE w:val="0"/>
        <w:autoSpaceDN w:val="0"/>
        <w:adjustRightInd w:val="0"/>
        <w:spacing w:before="89" w:after="0" w:line="276" w:lineRule="exact"/>
        <w:ind w:left="1890"/>
        <w:rPr>
          <w:rFonts w:ascii="Arial" w:eastAsia="Arial" w:hAnsi="Arial" w:cs="Arial"/>
          <w:b/>
          <w:color w:val="000000"/>
          <w:spacing w:val="-3"/>
          <w:sz w:val="20"/>
          <w:szCs w:val="20"/>
          <w:u w:val="single"/>
        </w:rPr>
      </w:pPr>
      <w:r w:rsidRPr="008A382A">
        <w:rPr>
          <w:rFonts w:ascii="Arial" w:eastAsia="Arial" w:hAnsi="Arial" w:cs="Arial"/>
          <w:b/>
          <w:color w:val="000000"/>
          <w:spacing w:val="-3"/>
          <w:sz w:val="20"/>
          <w:szCs w:val="20"/>
          <w:u w:val="single"/>
        </w:rPr>
        <w:t>Ghi chú:</w:t>
      </w:r>
    </w:p>
    <w:p w:rsidR="00F56487" w:rsidRPr="0072496D" w:rsidRDefault="00F56487" w:rsidP="004723EE">
      <w:pPr>
        <w:pStyle w:val="ListParagraph"/>
        <w:widowControl w:val="0"/>
        <w:tabs>
          <w:tab w:val="left" w:pos="745"/>
        </w:tabs>
        <w:autoSpaceDE w:val="0"/>
        <w:autoSpaceDN w:val="0"/>
        <w:adjustRightInd w:val="0"/>
        <w:spacing w:before="76" w:after="0" w:line="360" w:lineRule="auto"/>
        <w:ind w:left="1890"/>
        <w:rPr>
          <w:rFonts w:ascii="Arial" w:eastAsia="Arial" w:hAnsi="Arial" w:cs="Arial"/>
          <w:i/>
          <w:color w:val="000000"/>
          <w:spacing w:val="-3"/>
          <w:sz w:val="20"/>
          <w:szCs w:val="20"/>
        </w:rPr>
      </w:pPr>
      <w:r w:rsidRPr="0072496D">
        <w:rPr>
          <w:rFonts w:ascii="Arial" w:eastAsia="Arial" w:hAnsi="Arial" w:cs="Arial"/>
          <w:i/>
          <w:color w:val="000000"/>
          <w:spacing w:val="-3"/>
          <w:sz w:val="20"/>
          <w:szCs w:val="20"/>
        </w:rPr>
        <w:t xml:space="preserve">(*) </w:t>
      </w:r>
      <w:proofErr w:type="gramStart"/>
      <w:r w:rsidRPr="0072496D">
        <w:rPr>
          <w:rFonts w:ascii="Arial" w:eastAsia="Arial" w:hAnsi="Arial" w:cs="Arial"/>
          <w:i/>
          <w:color w:val="000000"/>
          <w:spacing w:val="-3"/>
          <w:sz w:val="20"/>
          <w:szCs w:val="20"/>
        </w:rPr>
        <w:t>Trong trường hợp tại ngày có giao dịch</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gần nhất trước ngày định giá có nhiều hơn</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một giao dịch của trái phiếu cần định giá</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(dẫn đến có nhiều giá yết), giá sử dụng là</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bình quân của các giá yết đã thực hiện</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trong ngày đó.</w:t>
      </w:r>
      <w:proofErr w:type="gramEnd"/>
    </w:p>
    <w:p w:rsidR="00F56487" w:rsidRPr="0072496D" w:rsidRDefault="00F56487" w:rsidP="004723EE">
      <w:pPr>
        <w:pStyle w:val="ListParagraph"/>
        <w:widowControl w:val="0"/>
        <w:tabs>
          <w:tab w:val="left" w:pos="745"/>
        </w:tabs>
        <w:autoSpaceDE w:val="0"/>
        <w:autoSpaceDN w:val="0"/>
        <w:adjustRightInd w:val="0"/>
        <w:spacing w:before="81" w:after="0" w:line="360" w:lineRule="auto"/>
        <w:ind w:left="1797"/>
        <w:rPr>
          <w:rFonts w:ascii="Arial" w:eastAsia="Arial" w:hAnsi="Arial" w:cs="Arial"/>
          <w:i/>
          <w:color w:val="000000"/>
          <w:spacing w:val="-3"/>
          <w:sz w:val="20"/>
          <w:szCs w:val="20"/>
        </w:rPr>
      </w:pPr>
      <w:r w:rsidRPr="0072496D">
        <w:rPr>
          <w:rFonts w:ascii="Arial" w:hAnsi="Arial" w:cs="Arial"/>
          <w:i/>
          <w:color w:val="000000"/>
          <w:spacing w:val="-3"/>
          <w:sz w:val="20"/>
          <w:szCs w:val="20"/>
        </w:rPr>
        <w:t>(</w:t>
      </w:r>
      <w:r w:rsidRPr="0072496D">
        <w:rPr>
          <w:rFonts w:ascii="Arial" w:eastAsia="Arial" w:hAnsi="Arial" w:cs="Arial"/>
          <w:i/>
          <w:color w:val="000000"/>
          <w:spacing w:val="-3"/>
          <w:sz w:val="20"/>
          <w:szCs w:val="20"/>
        </w:rPr>
        <w:t xml:space="preserve">**) </w:t>
      </w:r>
      <w:proofErr w:type="gramStart"/>
      <w:r w:rsidRPr="0072496D">
        <w:rPr>
          <w:rFonts w:ascii="Arial" w:eastAsia="Arial" w:hAnsi="Arial" w:cs="Arial"/>
          <w:i/>
          <w:color w:val="000000"/>
          <w:spacing w:val="-3"/>
          <w:sz w:val="20"/>
          <w:szCs w:val="20"/>
        </w:rPr>
        <w:t>Giá thị trường có biến động lớn được</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hiểu là giá trái phiếu của kỳ định giá có</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biến động tăng hoặc giảm lớn hơn 3% so</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với giá trái phiếu của kỳ định giá gần nhất.</w:t>
      </w:r>
      <w:proofErr w:type="gramEnd"/>
    </w:p>
    <w:p w:rsidR="008B7FE9" w:rsidRPr="0072496D" w:rsidRDefault="008B7FE9" w:rsidP="004723EE">
      <w:pPr>
        <w:pStyle w:val="ListParagraph"/>
        <w:widowControl w:val="0"/>
        <w:tabs>
          <w:tab w:val="left" w:pos="745"/>
        </w:tabs>
        <w:autoSpaceDE w:val="0"/>
        <w:autoSpaceDN w:val="0"/>
        <w:adjustRightInd w:val="0"/>
        <w:spacing w:before="81" w:after="0" w:line="360" w:lineRule="auto"/>
        <w:ind w:left="1797"/>
        <w:rPr>
          <w:rFonts w:ascii="Arial" w:eastAsia="Arial" w:hAnsi="Arial" w:cs="Arial"/>
          <w:i/>
          <w:color w:val="000000"/>
          <w:spacing w:val="-3"/>
          <w:sz w:val="20"/>
          <w:szCs w:val="20"/>
        </w:rPr>
      </w:pPr>
    </w:p>
    <w:p w:rsidR="00FE0203" w:rsidRPr="0072496D" w:rsidRDefault="008A382A" w:rsidP="00FE0203">
      <w:pPr>
        <w:pStyle w:val="BodyText"/>
        <w:numPr>
          <w:ilvl w:val="0"/>
          <w:numId w:val="15"/>
        </w:numPr>
        <w:spacing w:before="120" w:after="120" w:line="360" w:lineRule="auto"/>
        <w:ind w:left="1530"/>
        <w:rPr>
          <w:rFonts w:ascii="Arial" w:hAnsi="Arial" w:cs="Arial"/>
          <w:lang w:val="en-US"/>
        </w:rPr>
      </w:pPr>
      <w:r w:rsidRPr="008A382A">
        <w:rPr>
          <w:rFonts w:ascii="Arial" w:hAnsi="Arial" w:cs="Arial"/>
          <w:lang w:val="en-US"/>
        </w:rPr>
        <w:t>Trái phiếu không niêm yết</w:t>
      </w:r>
    </w:p>
    <w:p w:rsidR="00FE0203" w:rsidRPr="0072496D" w:rsidRDefault="008A382A" w:rsidP="00FE0203">
      <w:pPr>
        <w:pStyle w:val="BodyText"/>
        <w:spacing w:before="120" w:after="120" w:line="360" w:lineRule="auto"/>
        <w:ind w:left="810" w:firstLine="720"/>
        <w:rPr>
          <w:rFonts w:ascii="Arial" w:hAnsi="Arial" w:cs="Arial"/>
          <w:lang w:val="en-US"/>
        </w:rPr>
      </w:pPr>
      <w:r w:rsidRPr="008A382A">
        <w:rPr>
          <w:rFonts w:ascii="Arial" w:hAnsi="Arial" w:cs="Arial"/>
          <w:lang w:val="en-US"/>
        </w:rPr>
        <w:t xml:space="preserve">Được xác định </w:t>
      </w:r>
      <w:proofErr w:type="gramStart"/>
      <w:r w:rsidRPr="008A382A">
        <w:rPr>
          <w:rFonts w:ascii="Arial" w:hAnsi="Arial" w:cs="Arial"/>
          <w:lang w:val="en-US"/>
        </w:rPr>
        <w:t>theo</w:t>
      </w:r>
      <w:proofErr w:type="gramEnd"/>
      <w:r w:rsidRPr="008A382A">
        <w:rPr>
          <w:rFonts w:ascii="Arial" w:hAnsi="Arial" w:cs="Arial"/>
          <w:lang w:val="en-US"/>
        </w:rPr>
        <w:t xml:space="preserve"> thứ tự ưu tiên sau:</w:t>
      </w:r>
    </w:p>
    <w:p w:rsidR="00F51419" w:rsidRPr="0072496D" w:rsidRDefault="008A382A" w:rsidP="00FE0203">
      <w:pPr>
        <w:numPr>
          <w:ilvl w:val="0"/>
          <w:numId w:val="17"/>
        </w:numPr>
        <w:spacing w:before="120" w:after="120" w:line="360" w:lineRule="auto"/>
        <w:rPr>
          <w:rFonts w:ascii="Arial" w:eastAsia="Times New Roman" w:hAnsi="Arial" w:cs="Arial"/>
          <w:sz w:val="20"/>
          <w:szCs w:val="20"/>
        </w:rPr>
      </w:pPr>
      <w:r w:rsidRPr="008A382A">
        <w:rPr>
          <w:rFonts w:ascii="Arial" w:eastAsia="Times New Roman" w:hAnsi="Arial" w:cs="Arial"/>
          <w:sz w:val="20"/>
          <w:szCs w:val="20"/>
        </w:rPr>
        <w:t>Giá yết(*) (nếu có) trên các hệ thống báo giá cộng lãi suất cuống phiếu tính tới ngày trước ngày định giá;</w:t>
      </w:r>
    </w:p>
    <w:p w:rsidR="00FE0203" w:rsidRPr="0072496D" w:rsidRDefault="008A382A" w:rsidP="00541372">
      <w:pPr>
        <w:numPr>
          <w:ilvl w:val="0"/>
          <w:numId w:val="17"/>
        </w:numPr>
        <w:spacing w:before="120" w:after="120" w:line="360" w:lineRule="auto"/>
        <w:rPr>
          <w:rFonts w:ascii="Arial" w:eastAsia="Times New Roman" w:hAnsi="Arial" w:cs="Arial"/>
          <w:sz w:val="20"/>
          <w:szCs w:val="20"/>
        </w:rPr>
      </w:pPr>
      <w:r w:rsidRPr="008A382A">
        <w:rPr>
          <w:rFonts w:ascii="Arial" w:eastAsia="Times New Roman" w:hAnsi="Arial" w:cs="Arial"/>
          <w:sz w:val="20"/>
          <w:szCs w:val="20"/>
        </w:rPr>
        <w:lastRenderedPageBreak/>
        <w:t xml:space="preserve">Trong trường hợp không có giá yết trên hệ thống báo giá là một trong các mức giá theo thứ tự ưu tiên sau: </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cộng lãi lũy kế;</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Mệnh giá cộng lãi lũy kế.</w:t>
      </w:r>
    </w:p>
    <w:p w:rsidR="00F51419" w:rsidRPr="0072496D" w:rsidRDefault="008A382A" w:rsidP="00F51419">
      <w:pPr>
        <w:pStyle w:val="ListParagraph"/>
        <w:widowControl w:val="0"/>
        <w:autoSpaceDE w:val="0"/>
        <w:autoSpaceDN w:val="0"/>
        <w:adjustRightInd w:val="0"/>
        <w:spacing w:before="89" w:after="0" w:line="276" w:lineRule="exact"/>
        <w:ind w:left="1890"/>
        <w:rPr>
          <w:rFonts w:ascii="Arial" w:eastAsia="Arial" w:hAnsi="Arial" w:cs="Arial"/>
          <w:b/>
          <w:color w:val="000000"/>
          <w:spacing w:val="-3"/>
          <w:sz w:val="20"/>
          <w:szCs w:val="20"/>
          <w:u w:val="single"/>
        </w:rPr>
      </w:pPr>
      <w:r w:rsidRPr="008A382A">
        <w:rPr>
          <w:rFonts w:ascii="Arial" w:eastAsia="Arial" w:hAnsi="Arial" w:cs="Arial"/>
          <w:b/>
          <w:color w:val="000000"/>
          <w:spacing w:val="-3"/>
          <w:sz w:val="20"/>
          <w:szCs w:val="20"/>
          <w:u w:val="single"/>
        </w:rPr>
        <w:t>Ghi chú:</w:t>
      </w:r>
    </w:p>
    <w:p w:rsidR="00F51419" w:rsidRPr="0072496D" w:rsidRDefault="008A382A" w:rsidP="004723EE">
      <w:pPr>
        <w:pStyle w:val="ListParagraph"/>
        <w:widowControl w:val="0"/>
        <w:tabs>
          <w:tab w:val="left" w:pos="745"/>
        </w:tabs>
        <w:autoSpaceDE w:val="0"/>
        <w:autoSpaceDN w:val="0"/>
        <w:adjustRightInd w:val="0"/>
        <w:spacing w:before="76" w:after="0" w:line="360" w:lineRule="auto"/>
        <w:ind w:left="1886"/>
        <w:rPr>
          <w:rFonts w:ascii="Arial" w:eastAsia="Arial" w:hAnsi="Arial" w:cs="Arial"/>
          <w:i/>
          <w:color w:val="000000"/>
          <w:spacing w:val="-3"/>
          <w:sz w:val="20"/>
          <w:szCs w:val="20"/>
        </w:rPr>
      </w:pPr>
      <w:r w:rsidRPr="008A382A">
        <w:rPr>
          <w:rFonts w:ascii="Arial" w:eastAsia="Arial" w:hAnsi="Arial" w:cs="Arial"/>
          <w:i/>
          <w:color w:val="000000"/>
          <w:spacing w:val="-3"/>
          <w:sz w:val="20"/>
          <w:szCs w:val="20"/>
        </w:rPr>
        <w:t>(*)</w:t>
      </w:r>
      <w:proofErr w:type="gramStart"/>
      <w:r w:rsidRPr="008A382A">
        <w:rPr>
          <w:rFonts w:ascii="Arial" w:eastAsia="Arial" w:hAnsi="Arial" w:cs="Arial"/>
          <w:i/>
          <w:color w:val="000000"/>
          <w:spacing w:val="-3"/>
          <w:sz w:val="20"/>
          <w:szCs w:val="20"/>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roofErr w:type="gramEnd"/>
    </w:p>
    <w:p w:rsidR="00FE0203" w:rsidRPr="0072496D" w:rsidRDefault="008A382A" w:rsidP="00FE0203">
      <w:pPr>
        <w:pStyle w:val="BodyText"/>
        <w:numPr>
          <w:ilvl w:val="0"/>
          <w:numId w:val="13"/>
        </w:numPr>
        <w:spacing w:before="120" w:after="120" w:line="360" w:lineRule="auto"/>
        <w:rPr>
          <w:rFonts w:ascii="Arial" w:hAnsi="Arial" w:cs="Arial"/>
          <w:i/>
          <w:lang w:val="en-US"/>
        </w:rPr>
      </w:pPr>
      <w:r w:rsidRPr="008A382A">
        <w:rPr>
          <w:rFonts w:ascii="Arial" w:hAnsi="Arial" w:cs="Arial"/>
          <w:i/>
          <w:lang w:val="en-US"/>
        </w:rPr>
        <w:t>Cổ phiếu</w:t>
      </w:r>
    </w:p>
    <w:p w:rsidR="00F51419" w:rsidRPr="0072496D" w:rsidRDefault="008A382A" w:rsidP="00F51419">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niêm yết trên Sở Giao dịch Chứng khoán Hồ Chí Minh</w:t>
      </w:r>
    </w:p>
    <w:p w:rsidR="00F51419"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Giá thị trường là Giá đóng cửa (hoặc tên gọi khác theo quy chế của Sở giao dịch chứng khoán) của ngày có giao dịch gần nhất trước ngày định giá;</w:t>
      </w:r>
    </w:p>
    <w:p w:rsidR="00FE0203"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Trường hợp không có giao dịch nhiều hơn hai (02) tuần tính đến ngày định giá thì giá cổ phiếu được sử dụng để định giá là một trong các mức giá theo thứ tự ưu tiên sau:</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hoặc</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p>
    <w:p w:rsidR="00F51419" w:rsidRPr="0072496D" w:rsidRDefault="008A382A" w:rsidP="00F51419">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niêm yết trên Sở Giao dịch Chứng khoán Hà Nội</w:t>
      </w:r>
    </w:p>
    <w:p w:rsidR="00FE0203"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Giá thị trường là Giá đóng cửa (hoặc tên gọi khác theo quy chế của Sở giao dịch chứng khoán) của ngày có giao dịch gần nhất trước ngày định giá;</w:t>
      </w:r>
    </w:p>
    <w:p w:rsidR="00FE0203" w:rsidRPr="0072496D" w:rsidRDefault="008A382A" w:rsidP="00F51419">
      <w:pPr>
        <w:pStyle w:val="BodyText"/>
        <w:numPr>
          <w:ilvl w:val="0"/>
          <w:numId w:val="17"/>
        </w:numPr>
        <w:spacing w:before="120" w:after="120" w:line="360" w:lineRule="auto"/>
        <w:ind w:left="2250"/>
        <w:rPr>
          <w:rFonts w:ascii="Arial" w:hAnsi="Arial" w:cs="Arial"/>
        </w:rPr>
      </w:pPr>
      <w:r w:rsidRPr="008A382A">
        <w:rPr>
          <w:rFonts w:ascii="Arial" w:hAnsi="Arial" w:cs="Arial"/>
          <w:lang w:val="en-US"/>
        </w:rPr>
        <w:t>Trường</w:t>
      </w:r>
      <w:r w:rsidRPr="008A382A">
        <w:rPr>
          <w:rFonts w:ascii="Arial" w:hAnsi="Arial" w:cs="Arial"/>
        </w:rPr>
        <w:t xml:space="preserve"> hợp không có giao dịch nhiều hơn hai (02) tuần tính đến ngày định giá thì giá cổ phiếu được sử dụng để định giá là một trong các mức giá theo thứ tự ưu tiên sau: </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hoặc</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p>
    <w:p w:rsidR="00FE0203" w:rsidRPr="0072496D" w:rsidRDefault="008A382A" w:rsidP="00F51419">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của Công ty Đại chúng đăng ký giao dịch trên hệ thống Upcom</w:t>
      </w:r>
    </w:p>
    <w:p w:rsidR="00FE0203"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Giá thị trường là Giá đóng cửa (hoặc tên gọi khác theo quy chế của Sở giao dịch chứng khoán) của ngày có giao dịch gần nhất trước ngày định giá;</w:t>
      </w:r>
    </w:p>
    <w:p w:rsidR="00FE0203"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Trường hợp không có giao dịch nhiều hơn hai (02) tuần tính đến ngày định giá thì giá cổ phiếu được sử dụng để định giá là một trong các mức giá theo thứ tự ưu tiên sau:</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hoặc</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p>
    <w:p w:rsidR="004723EE" w:rsidRPr="004723EE" w:rsidRDefault="008A382A" w:rsidP="00F51419">
      <w:pPr>
        <w:pStyle w:val="BodyText"/>
        <w:numPr>
          <w:ilvl w:val="0"/>
          <w:numId w:val="17"/>
        </w:numPr>
        <w:spacing w:before="120" w:after="120" w:line="360" w:lineRule="auto"/>
        <w:ind w:left="2250"/>
        <w:rPr>
          <w:rFonts w:ascii="Arial" w:hAnsi="Arial" w:cs="Arial"/>
        </w:rPr>
      </w:pPr>
      <w:r w:rsidRPr="008A382A">
        <w:rPr>
          <w:rFonts w:ascii="Arial" w:hAnsi="Arial" w:cs="Arial"/>
          <w:lang w:val="en-US"/>
        </w:rPr>
        <w:t>Cổ phiếu đã đăng ký, lưu ký nhưng chưa niêm yết, cổ phiếu chưa đăng ký giao dịch</w:t>
      </w:r>
    </w:p>
    <w:p w:rsidR="00F51419" w:rsidRPr="004723EE" w:rsidRDefault="008A382A" w:rsidP="00F51419">
      <w:pPr>
        <w:pStyle w:val="BodyText"/>
        <w:numPr>
          <w:ilvl w:val="0"/>
          <w:numId w:val="17"/>
        </w:numPr>
        <w:spacing w:before="120" w:after="120" w:line="360" w:lineRule="auto"/>
        <w:ind w:left="2250"/>
        <w:rPr>
          <w:rFonts w:ascii="Arial" w:hAnsi="Arial" w:cs="Arial"/>
        </w:rPr>
      </w:pPr>
      <w:r w:rsidRPr="008A382A">
        <w:rPr>
          <w:rFonts w:ascii="Arial" w:hAnsi="Arial" w:cs="Arial"/>
        </w:rPr>
        <w:lastRenderedPageBreak/>
        <w:t>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w:t>
      </w:r>
    </w:p>
    <w:p w:rsidR="00FE0203" w:rsidRPr="0072496D" w:rsidRDefault="008A382A" w:rsidP="00FE0203">
      <w:pPr>
        <w:numPr>
          <w:ilvl w:val="0"/>
          <w:numId w:val="17"/>
        </w:numPr>
        <w:spacing w:before="120" w:after="120" w:line="360" w:lineRule="auto"/>
        <w:ind w:left="2250"/>
        <w:rPr>
          <w:rFonts w:ascii="Arial" w:eastAsia="Times New Roman" w:hAnsi="Arial" w:cs="Arial"/>
          <w:sz w:val="20"/>
          <w:szCs w:val="20"/>
        </w:rPr>
      </w:pPr>
      <w:r w:rsidRPr="008A382A">
        <w:rPr>
          <w:rFonts w:ascii="Arial" w:eastAsia="Times New Roman" w:hAnsi="Arial" w:cs="Arial"/>
          <w:sz w:val="20"/>
          <w:szCs w:val="20"/>
        </w:rPr>
        <w:t>Trường hợp không có đủ báo giá của tối thiểu 03 tổ chức báo giá là một trong các mức giá theo thứ tự ưu tiên sau:</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 xml:space="preserve">Giá trung bình từ hai (02) tổ chức báo giá; </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 xml:space="preserve">Giá của kỳ báo cáo gần nhất nhưng không quá ba (03) tháng tính đến ngày định giá; </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hoặc</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p>
    <w:p w:rsidR="0066421F" w:rsidRPr="0072496D" w:rsidRDefault="008A382A" w:rsidP="0066421F">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bị đình chỉ giao dịch, hoặc hủy niêm yết hoặc hủy đăng ký giao dịch</w:t>
      </w:r>
    </w:p>
    <w:p w:rsidR="0066421F" w:rsidRPr="0072496D" w:rsidRDefault="008A382A" w:rsidP="0066421F">
      <w:pPr>
        <w:spacing w:before="120" w:after="120" w:line="360" w:lineRule="auto"/>
        <w:ind w:left="2250"/>
        <w:rPr>
          <w:rFonts w:ascii="Arial" w:eastAsia="Times New Roman" w:hAnsi="Arial" w:cs="Arial"/>
          <w:sz w:val="20"/>
          <w:szCs w:val="20"/>
        </w:rPr>
      </w:pPr>
      <w:r w:rsidRPr="008A382A">
        <w:rPr>
          <w:rFonts w:ascii="Arial" w:eastAsia="Times New Roman" w:hAnsi="Arial" w:cs="Arial"/>
          <w:sz w:val="20"/>
          <w:szCs w:val="20"/>
        </w:rPr>
        <w:t xml:space="preserve">Là một trong các mức giá </w:t>
      </w:r>
      <w:proofErr w:type="gramStart"/>
      <w:r w:rsidRPr="008A382A">
        <w:rPr>
          <w:rFonts w:ascii="Arial" w:eastAsia="Times New Roman" w:hAnsi="Arial" w:cs="Arial"/>
          <w:sz w:val="20"/>
          <w:szCs w:val="20"/>
        </w:rPr>
        <w:t>theo</w:t>
      </w:r>
      <w:proofErr w:type="gramEnd"/>
      <w:r w:rsidRPr="008A382A">
        <w:rPr>
          <w:rFonts w:ascii="Arial" w:eastAsia="Times New Roman" w:hAnsi="Arial" w:cs="Arial"/>
          <w:sz w:val="20"/>
          <w:szCs w:val="20"/>
        </w:rPr>
        <w:t xml:space="preserve"> thứ tự ưu tiên sau:</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 hoặc</w:t>
      </w:r>
    </w:p>
    <w:p w:rsidR="00FE0203"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Mệnh giá.</w:t>
      </w:r>
    </w:p>
    <w:p w:rsidR="0066421F" w:rsidRPr="0072496D" w:rsidRDefault="008A382A" w:rsidP="0066421F">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của tổ chức trong tình trạng giải thể, phá sản</w:t>
      </w:r>
    </w:p>
    <w:p w:rsidR="0066421F" w:rsidRPr="0072496D" w:rsidRDefault="008A382A" w:rsidP="0066421F">
      <w:pPr>
        <w:spacing w:before="120" w:after="120" w:line="360" w:lineRule="auto"/>
        <w:ind w:left="2250"/>
        <w:rPr>
          <w:rFonts w:ascii="Arial" w:eastAsia="Times New Roman" w:hAnsi="Arial" w:cs="Arial"/>
          <w:sz w:val="20"/>
          <w:szCs w:val="20"/>
        </w:rPr>
      </w:pPr>
      <w:r w:rsidRPr="008A382A">
        <w:rPr>
          <w:rFonts w:ascii="Arial" w:hAnsi="Arial" w:cs="Arial"/>
          <w:sz w:val="20"/>
          <w:szCs w:val="20"/>
        </w:rPr>
        <w:t xml:space="preserve">Là </w:t>
      </w:r>
      <w:r w:rsidRPr="008A382A">
        <w:rPr>
          <w:rFonts w:ascii="Arial" w:eastAsia="Times New Roman" w:hAnsi="Arial" w:cs="Arial"/>
          <w:sz w:val="20"/>
          <w:szCs w:val="20"/>
        </w:rPr>
        <w:t xml:space="preserve">một trong các mức giá </w:t>
      </w:r>
      <w:proofErr w:type="gramStart"/>
      <w:r w:rsidRPr="008A382A">
        <w:rPr>
          <w:rFonts w:ascii="Arial" w:eastAsia="Times New Roman" w:hAnsi="Arial" w:cs="Arial"/>
          <w:sz w:val="20"/>
          <w:szCs w:val="20"/>
        </w:rPr>
        <w:t>theo</w:t>
      </w:r>
      <w:proofErr w:type="gramEnd"/>
      <w:r w:rsidRPr="008A382A">
        <w:rPr>
          <w:rFonts w:ascii="Arial" w:eastAsia="Times New Roman" w:hAnsi="Arial" w:cs="Arial"/>
          <w:sz w:val="20"/>
          <w:szCs w:val="20"/>
        </w:rPr>
        <w:t xml:space="preserve"> thứ tự ưu tiên sau:</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80% giá trị thanh lý của cổ phiếu đó tại ngày lập bảng cân đối kế toán gần nhất trước ngày định giá; hoặc</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 xml:space="preserve">Giá xác định </w:t>
      </w:r>
      <w:proofErr w:type="gramStart"/>
      <w:r w:rsidRPr="008A382A">
        <w:rPr>
          <w:rFonts w:ascii="Arial" w:hAnsi="Arial" w:cs="Arial"/>
          <w:lang w:val="en-US"/>
        </w:rPr>
        <w:t>theo</w:t>
      </w:r>
      <w:proofErr w:type="gramEnd"/>
      <w:r w:rsidRPr="008A382A">
        <w:rPr>
          <w:rFonts w:ascii="Arial" w:hAnsi="Arial" w:cs="Arial"/>
          <w:lang w:val="en-US"/>
        </w:rPr>
        <w:t xml:space="preserve"> phương pháp đã được ban đại diện quỹ chấp thuận theo từng trường hợp cụ thể.</w:t>
      </w:r>
    </w:p>
    <w:p w:rsidR="0066421F" w:rsidRPr="0072496D" w:rsidRDefault="008A382A" w:rsidP="0066421F">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phần, phần vốn góp khác</w:t>
      </w:r>
    </w:p>
    <w:p w:rsidR="0066421F" w:rsidRPr="0072496D" w:rsidRDefault="008A382A" w:rsidP="0066421F">
      <w:pPr>
        <w:pStyle w:val="BodyText"/>
        <w:spacing w:before="120" w:after="120" w:line="360" w:lineRule="auto"/>
        <w:ind w:left="1890"/>
        <w:rPr>
          <w:rFonts w:ascii="Arial" w:hAnsi="Arial" w:cs="Arial"/>
          <w:lang w:val="en-US"/>
        </w:rPr>
      </w:pPr>
      <w:r w:rsidRPr="008A382A">
        <w:rPr>
          <w:rFonts w:ascii="Arial" w:hAnsi="Arial" w:cs="Arial"/>
          <w:lang w:val="en-US"/>
        </w:rPr>
        <w:t xml:space="preserve">Là một trong các mức giá </w:t>
      </w:r>
      <w:proofErr w:type="gramStart"/>
      <w:r w:rsidRPr="008A382A">
        <w:rPr>
          <w:rFonts w:ascii="Arial" w:hAnsi="Arial" w:cs="Arial"/>
          <w:lang w:val="en-US"/>
        </w:rPr>
        <w:t>theo</w:t>
      </w:r>
      <w:proofErr w:type="gramEnd"/>
      <w:r w:rsidRPr="008A382A">
        <w:rPr>
          <w:rFonts w:ascii="Arial" w:hAnsi="Arial" w:cs="Arial"/>
          <w:lang w:val="en-US"/>
        </w:rPr>
        <w:t xml:space="preserve"> thứ tự ưu tiên sau:</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 xml:space="preserve">Giá mua/giá trị vốn góp; </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r w:rsidRPr="008A382A">
        <w:rPr>
          <w:rFonts w:ascii="Arial" w:hAnsi="Arial" w:cs="Arial"/>
          <w:lang w:val="en-US"/>
        </w:rPr>
        <w:tab/>
      </w:r>
    </w:p>
    <w:p w:rsidR="00FE0203" w:rsidRPr="0072496D" w:rsidRDefault="008A382A" w:rsidP="00FE0203">
      <w:pPr>
        <w:pStyle w:val="BodyText"/>
        <w:numPr>
          <w:ilvl w:val="0"/>
          <w:numId w:val="13"/>
        </w:numPr>
        <w:spacing w:before="120" w:after="120" w:line="360" w:lineRule="auto"/>
        <w:rPr>
          <w:rFonts w:ascii="Arial" w:hAnsi="Arial" w:cs="Arial"/>
          <w:i/>
          <w:lang w:val="en-US"/>
        </w:rPr>
      </w:pPr>
      <w:r w:rsidRPr="008A382A">
        <w:rPr>
          <w:rFonts w:ascii="Arial" w:hAnsi="Arial" w:cs="Arial"/>
          <w:i/>
          <w:lang w:val="en-US"/>
        </w:rPr>
        <w:t>Chứng khoán phái sinh</w:t>
      </w:r>
    </w:p>
    <w:p w:rsidR="00FE0203" w:rsidRPr="0072496D" w:rsidRDefault="008A382A" w:rsidP="00FE0203">
      <w:pPr>
        <w:pStyle w:val="BodyText"/>
        <w:numPr>
          <w:ilvl w:val="0"/>
          <w:numId w:val="22"/>
        </w:numPr>
        <w:spacing w:before="120" w:after="120" w:line="360" w:lineRule="auto"/>
        <w:ind w:hanging="360"/>
        <w:rPr>
          <w:rFonts w:ascii="Arial" w:hAnsi="Arial" w:cs="Arial"/>
          <w:lang w:val="en-US"/>
        </w:rPr>
      </w:pPr>
      <w:r w:rsidRPr="008A382A">
        <w:rPr>
          <w:rFonts w:ascii="Arial" w:hAnsi="Arial" w:cs="Arial"/>
          <w:lang w:val="en-US"/>
        </w:rPr>
        <w:t>Chứng khoán phái sinh niêm yết</w:t>
      </w:r>
    </w:p>
    <w:p w:rsidR="00FE0203" w:rsidRPr="0072496D" w:rsidRDefault="008A382A" w:rsidP="00FE0203">
      <w:pPr>
        <w:pStyle w:val="BodyText"/>
        <w:spacing w:before="120" w:after="120" w:line="360" w:lineRule="auto"/>
        <w:ind w:left="1890"/>
        <w:rPr>
          <w:rFonts w:ascii="Arial" w:hAnsi="Arial" w:cs="Arial"/>
          <w:lang w:val="en-US"/>
        </w:rPr>
      </w:pPr>
      <w:r w:rsidRPr="008A382A">
        <w:rPr>
          <w:rFonts w:ascii="Arial" w:hAnsi="Arial" w:cs="Arial"/>
          <w:lang w:val="en-US"/>
        </w:rPr>
        <w:t>Giá đóng cửa tại ngày giao dịch gần nhất trước Ngày Định Giá</w:t>
      </w:r>
    </w:p>
    <w:p w:rsidR="00FE0203" w:rsidRPr="0072496D" w:rsidRDefault="008A382A" w:rsidP="00FE0203">
      <w:pPr>
        <w:pStyle w:val="BodyText"/>
        <w:numPr>
          <w:ilvl w:val="0"/>
          <w:numId w:val="22"/>
        </w:numPr>
        <w:spacing w:before="120" w:after="120" w:line="360" w:lineRule="auto"/>
        <w:ind w:hanging="360"/>
        <w:rPr>
          <w:rFonts w:ascii="Arial" w:hAnsi="Arial" w:cs="Arial"/>
          <w:lang w:val="en-US"/>
        </w:rPr>
      </w:pPr>
      <w:r w:rsidRPr="008A382A">
        <w:rPr>
          <w:rFonts w:ascii="Arial" w:hAnsi="Arial" w:cs="Arial"/>
          <w:lang w:val="en-US"/>
        </w:rPr>
        <w:t>Chứng khoản phái sinh niêm yết không có giao dịch trong vòng 2 tuần trở lên</w:t>
      </w:r>
    </w:p>
    <w:p w:rsidR="00FE0203" w:rsidRPr="0072496D" w:rsidRDefault="008A382A" w:rsidP="00FE0203">
      <w:pPr>
        <w:pStyle w:val="BodyText"/>
        <w:spacing w:before="120" w:after="120" w:line="360" w:lineRule="auto"/>
        <w:ind w:left="1890"/>
        <w:rPr>
          <w:rFonts w:ascii="Arial" w:hAnsi="Arial" w:cs="Arial"/>
          <w:lang w:val="en-US"/>
        </w:rPr>
      </w:pPr>
      <w:r>
        <w:rPr>
          <w:rStyle w:val="BodyText1"/>
          <w:rFonts w:ascii="Arial" w:eastAsiaTheme="minorHAnsi" w:hAnsi="Arial" w:cs="Arial"/>
          <w:sz w:val="20"/>
          <w:szCs w:val="20"/>
          <w:lang w:val="en-US"/>
        </w:rPr>
        <w:t xml:space="preserve">Giá xác định </w:t>
      </w:r>
      <w:proofErr w:type="gramStart"/>
      <w:r>
        <w:rPr>
          <w:rStyle w:val="BodyText1"/>
          <w:rFonts w:ascii="Arial" w:eastAsiaTheme="minorHAnsi" w:hAnsi="Arial" w:cs="Arial"/>
          <w:sz w:val="20"/>
          <w:szCs w:val="20"/>
          <w:lang w:val="en-US"/>
        </w:rPr>
        <w:t>theo</w:t>
      </w:r>
      <w:proofErr w:type="gramEnd"/>
      <w:r>
        <w:rPr>
          <w:rStyle w:val="BodyText1"/>
          <w:rFonts w:ascii="Arial" w:eastAsiaTheme="minorHAnsi" w:hAnsi="Arial" w:cs="Arial"/>
          <w:sz w:val="20"/>
          <w:szCs w:val="20"/>
          <w:lang w:val="en-US"/>
        </w:rPr>
        <w:t xml:space="preserve"> phương pháp đã được ban đại diện quỹ chấp thuận theo từng trường hợp cụ thể.</w:t>
      </w:r>
    </w:p>
    <w:p w:rsidR="00FE0203" w:rsidRPr="0072496D" w:rsidRDefault="008A382A" w:rsidP="00FE0203">
      <w:pPr>
        <w:pStyle w:val="BodyText"/>
        <w:numPr>
          <w:ilvl w:val="0"/>
          <w:numId w:val="13"/>
        </w:numPr>
        <w:spacing w:before="120" w:after="120" w:line="360" w:lineRule="auto"/>
        <w:rPr>
          <w:rFonts w:ascii="Arial" w:hAnsi="Arial" w:cs="Arial"/>
          <w:i/>
          <w:lang w:val="en-US"/>
        </w:rPr>
      </w:pPr>
      <w:r w:rsidRPr="008A382A">
        <w:rPr>
          <w:rFonts w:ascii="Arial" w:hAnsi="Arial" w:cs="Arial"/>
          <w:i/>
          <w:lang w:val="en-US"/>
        </w:rPr>
        <w:t>Các tài sản khác</w:t>
      </w:r>
    </w:p>
    <w:p w:rsidR="00FE0203" w:rsidRPr="0072496D" w:rsidRDefault="008A382A" w:rsidP="00FE0203">
      <w:pPr>
        <w:pStyle w:val="BodyText"/>
        <w:spacing w:before="120" w:after="120" w:line="360" w:lineRule="auto"/>
        <w:ind w:left="1530"/>
        <w:rPr>
          <w:rFonts w:ascii="Arial" w:hAnsi="Arial" w:cs="Arial"/>
          <w:lang w:val="en-US"/>
        </w:rPr>
      </w:pPr>
      <w:r w:rsidRPr="008A382A">
        <w:rPr>
          <w:rFonts w:ascii="Arial" w:hAnsi="Arial" w:cs="Arial"/>
          <w:lang w:val="en-US"/>
        </w:rPr>
        <w:t>Các tài sản được phép đầu tư khác:</w:t>
      </w:r>
    </w:p>
    <w:p w:rsidR="0066421F" w:rsidRPr="0072496D" w:rsidRDefault="008A382A" w:rsidP="0066421F">
      <w:pPr>
        <w:pStyle w:val="BodyText"/>
        <w:spacing w:before="120" w:after="120" w:line="360" w:lineRule="auto"/>
        <w:ind w:left="1890"/>
        <w:rPr>
          <w:rStyle w:val="BodyText1"/>
          <w:rFonts w:ascii="Arial" w:eastAsiaTheme="minorHAnsi" w:hAnsi="Arial" w:cs="Arial"/>
          <w:sz w:val="20"/>
          <w:szCs w:val="20"/>
          <w:lang w:val="en-US"/>
        </w:rPr>
      </w:pPr>
      <w:r>
        <w:rPr>
          <w:rStyle w:val="BodyText1"/>
          <w:rFonts w:ascii="Arial" w:eastAsiaTheme="minorHAnsi" w:hAnsi="Arial" w:cs="Arial"/>
          <w:sz w:val="20"/>
          <w:szCs w:val="20"/>
          <w:lang w:val="en-US"/>
        </w:rPr>
        <w:lastRenderedPageBreak/>
        <w:t xml:space="preserve">Giá xác định </w:t>
      </w:r>
      <w:proofErr w:type="gramStart"/>
      <w:r>
        <w:rPr>
          <w:rStyle w:val="BodyText1"/>
          <w:rFonts w:ascii="Arial" w:eastAsiaTheme="minorHAnsi" w:hAnsi="Arial" w:cs="Arial"/>
          <w:sz w:val="20"/>
          <w:szCs w:val="20"/>
          <w:lang w:val="en-US"/>
        </w:rPr>
        <w:t>theo</w:t>
      </w:r>
      <w:proofErr w:type="gramEnd"/>
      <w:r>
        <w:rPr>
          <w:rStyle w:val="BodyText1"/>
          <w:rFonts w:ascii="Arial" w:eastAsiaTheme="minorHAnsi" w:hAnsi="Arial" w:cs="Arial"/>
          <w:sz w:val="20"/>
          <w:szCs w:val="20"/>
          <w:lang w:val="en-US"/>
        </w:rPr>
        <w:t xml:space="preserve"> phương pháp đã được ban đại diện quỹ chấp thuận theo từng trường hợp cụ thể.</w:t>
      </w:r>
    </w:p>
    <w:p w:rsidR="00FE0203" w:rsidRPr="0072496D"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8A382A">
        <w:rPr>
          <w:rFonts w:ascii="Arial" w:hAnsi="Arial" w:cs="Arial"/>
          <w:b/>
          <w:i/>
          <w:color w:val="000000"/>
          <w:spacing w:val="3"/>
          <w:sz w:val="20"/>
          <w:szCs w:val="20"/>
          <w:u w:val="single"/>
        </w:rPr>
        <w:t>Ghi chú:</w:t>
      </w:r>
    </w:p>
    <w:p w:rsidR="00FE0203"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Lãi lũy kế là: khoản lãi tính từ ngày trả lãi gần nhất tới ngày trước Ngày Định Giá;</w:t>
      </w:r>
    </w:p>
    <w:p w:rsidR="00FE0203"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Giá trị sổ sách (book value) của một Cổ phiếu được xác định trên cơ sở báo cáo tài chính gần nhất đã được kiểm toán hoặc soát xét.</w:t>
      </w:r>
    </w:p>
    <w:p w:rsidR="00FE0203"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 xml:space="preserve">Tổ chức định giá được lựa chọn hệ </w:t>
      </w:r>
      <w:r w:rsidRPr="008A382A">
        <w:rPr>
          <w:rFonts w:ascii="Arial" w:hAnsi="Arial" w:cs="Arial"/>
          <w:i/>
          <w:lang w:val="en-US"/>
        </w:rPr>
        <w:t>thống</w:t>
      </w:r>
      <w:r w:rsidRPr="008A382A">
        <w:rPr>
          <w:rFonts w:ascii="Arial" w:hAnsi="Arial" w:cs="Arial"/>
          <w:i/>
          <w:color w:val="000000"/>
          <w:spacing w:val="3"/>
        </w:rPr>
        <w:t xml:space="preserve"> báo giá trái phiếu (Reuters / Bloomberg / VNBF / VBMA...) để tham khảo;</w:t>
      </w:r>
    </w:p>
    <w:p w:rsidR="0066421F"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 xml:space="preserve">Ngày được hiểu là ngày </w:t>
      </w:r>
      <w:proofErr w:type="gramStart"/>
      <w:r w:rsidRPr="008A382A">
        <w:rPr>
          <w:rFonts w:ascii="Arial" w:hAnsi="Arial" w:cs="Arial"/>
          <w:i/>
          <w:color w:val="000000"/>
          <w:spacing w:val="3"/>
        </w:rPr>
        <w:t>theo</w:t>
      </w:r>
      <w:proofErr w:type="gramEnd"/>
      <w:r w:rsidRPr="008A382A">
        <w:rPr>
          <w:rFonts w:ascii="Arial" w:hAnsi="Arial" w:cs="Arial"/>
          <w:i/>
          <w:color w:val="000000"/>
          <w:spacing w:val="3"/>
        </w:rPr>
        <w:t xml:space="preserve"> lịch dương.</w:t>
      </w:r>
    </w:p>
    <w:p w:rsidR="00FE0203"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Giá trị cam kết từ các hợp đồng phái sinh:</w:t>
      </w:r>
    </w:p>
    <w:p w:rsidR="00FE0203" w:rsidRPr="0072496D" w:rsidRDefault="008A382A" w:rsidP="00FE0203">
      <w:pPr>
        <w:pStyle w:val="BodyText"/>
        <w:numPr>
          <w:ilvl w:val="0"/>
          <w:numId w:val="24"/>
        </w:numPr>
        <w:spacing w:before="120" w:after="120" w:line="360" w:lineRule="auto"/>
        <w:ind w:hanging="360"/>
        <w:rPr>
          <w:rFonts w:ascii="Arial" w:hAnsi="Arial" w:cs="Arial"/>
          <w:color w:val="000000"/>
          <w:spacing w:val="3"/>
        </w:rPr>
      </w:pPr>
      <w:r w:rsidRPr="008A382A">
        <w:rPr>
          <w:rFonts w:ascii="Arial" w:hAnsi="Arial" w:cs="Arial"/>
          <w:color w:val="000000"/>
          <w:spacing w:val="3"/>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FE0203" w:rsidRPr="0072496D" w:rsidRDefault="008A382A" w:rsidP="00FE0203">
      <w:pPr>
        <w:pStyle w:val="BodyText"/>
        <w:numPr>
          <w:ilvl w:val="0"/>
          <w:numId w:val="24"/>
        </w:numPr>
        <w:spacing w:before="120" w:after="120" w:line="360" w:lineRule="auto"/>
        <w:ind w:hanging="360"/>
        <w:rPr>
          <w:rFonts w:ascii="Arial" w:hAnsi="Arial" w:cs="Arial"/>
          <w:color w:val="000000"/>
          <w:spacing w:val="3"/>
        </w:rPr>
      </w:pPr>
      <w:r w:rsidRPr="008A382A">
        <w:rPr>
          <w:rFonts w:ascii="Arial" w:hAnsi="Arial" w:cs="Arial"/>
          <w:color w:val="000000"/>
          <w:spacing w:val="3"/>
        </w:rPr>
        <w:t>Khi tính giá trị cam kết, Công ty Quản Lý Quỹ được áp dụng:</w:t>
      </w:r>
    </w:p>
    <w:p w:rsidR="002778E2" w:rsidRPr="0072496D" w:rsidRDefault="008A382A" w:rsidP="00FE0203">
      <w:pPr>
        <w:pStyle w:val="BodyText"/>
        <w:numPr>
          <w:ilvl w:val="0"/>
          <w:numId w:val="17"/>
        </w:numPr>
        <w:spacing w:before="120" w:after="120" w:line="360" w:lineRule="auto"/>
        <w:ind w:left="2250"/>
        <w:rPr>
          <w:rFonts w:ascii="Arial" w:hAnsi="Arial" w:cs="Arial"/>
          <w:color w:val="000000"/>
          <w:spacing w:val="3"/>
        </w:rPr>
      </w:pPr>
      <w:r w:rsidRPr="008A382A">
        <w:rPr>
          <w:rFonts w:ascii="Arial" w:hAnsi="Arial" w:cs="Arial"/>
          <w:color w:val="000000"/>
          <w:spacing w:val="3"/>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2778E2" w:rsidRPr="0072496D" w:rsidRDefault="008A382A" w:rsidP="00FE0203">
      <w:pPr>
        <w:pStyle w:val="BodyText"/>
        <w:numPr>
          <w:ilvl w:val="0"/>
          <w:numId w:val="17"/>
        </w:numPr>
        <w:spacing w:before="120" w:after="120" w:line="360" w:lineRule="auto"/>
        <w:ind w:left="2250"/>
        <w:rPr>
          <w:rFonts w:ascii="Arial" w:hAnsi="Arial" w:cs="Arial"/>
          <w:i/>
          <w:color w:val="000000"/>
          <w:spacing w:val="3"/>
        </w:rPr>
      </w:pPr>
      <w:r w:rsidRPr="008A382A">
        <w:rPr>
          <w:rFonts w:ascii="Arial" w:hAnsi="Arial" w:cs="Arial"/>
          <w:lang w:val="en-US"/>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FE0203" w:rsidRPr="0072496D" w:rsidRDefault="008A382A" w:rsidP="00FE0203">
      <w:pPr>
        <w:pStyle w:val="BodyText"/>
        <w:numPr>
          <w:ilvl w:val="0"/>
          <w:numId w:val="17"/>
        </w:numPr>
        <w:spacing w:before="120" w:after="120" w:line="360" w:lineRule="auto"/>
        <w:ind w:left="2250"/>
        <w:rPr>
          <w:rFonts w:ascii="Arial" w:hAnsi="Arial" w:cs="Arial"/>
          <w:i/>
          <w:color w:val="000000"/>
          <w:spacing w:val="3"/>
        </w:rPr>
      </w:pPr>
      <w:r w:rsidRPr="008A382A">
        <w:rPr>
          <w:rFonts w:ascii="Arial" w:hAnsi="Arial" w:cs="Arial"/>
          <w:color w:val="000000"/>
          <w:spacing w:val="3"/>
        </w:rPr>
        <w:t>Các nguyên tắc khác theo thông lệ quốc tế, bảo đảm quản trị được rủi ro</w:t>
      </w:r>
    </w:p>
    <w:p w:rsidR="00FE0203" w:rsidRPr="0072496D" w:rsidRDefault="00FE0203" w:rsidP="00FE0203">
      <w:pPr>
        <w:pStyle w:val="BodyText"/>
        <w:spacing w:before="120" w:after="120" w:line="360" w:lineRule="auto"/>
        <w:ind w:left="1890"/>
        <w:rPr>
          <w:rFonts w:ascii="Arial" w:hAnsi="Arial" w:cs="Arial"/>
          <w:i/>
          <w:color w:val="000000"/>
          <w:spacing w:val="3"/>
        </w:rPr>
      </w:pPr>
    </w:p>
    <w:p w:rsidR="00484381" w:rsidRPr="0072496D" w:rsidRDefault="008A382A">
      <w:pPr>
        <w:spacing w:line="240" w:lineRule="auto"/>
        <w:rPr>
          <w:rFonts w:ascii="Arial" w:eastAsia="Times New Roman" w:hAnsi="Arial" w:cs="Arial"/>
          <w:i/>
          <w:color w:val="000000"/>
          <w:spacing w:val="3"/>
          <w:sz w:val="20"/>
          <w:szCs w:val="20"/>
          <w:lang w:val="en-GB"/>
        </w:rPr>
      </w:pPr>
      <w:r w:rsidRPr="008A382A">
        <w:rPr>
          <w:rFonts w:ascii="Arial" w:hAnsi="Arial" w:cs="Arial"/>
          <w:i/>
          <w:color w:val="000000"/>
          <w:spacing w:val="3"/>
          <w:sz w:val="20"/>
          <w:szCs w:val="20"/>
        </w:rPr>
        <w:br w:type="page"/>
      </w:r>
    </w:p>
    <w:p w:rsidR="00484381" w:rsidRPr="0072496D" w:rsidRDefault="00484381" w:rsidP="00FE0203">
      <w:pPr>
        <w:pStyle w:val="BodyText"/>
        <w:spacing w:before="120" w:after="120" w:line="360" w:lineRule="auto"/>
        <w:ind w:left="1890"/>
        <w:rPr>
          <w:rFonts w:ascii="Arial" w:hAnsi="Arial" w:cs="Arial"/>
          <w:i/>
          <w:color w:val="000000"/>
          <w:spacing w:val="3"/>
        </w:rPr>
      </w:pPr>
    </w:p>
    <w:tbl>
      <w:tblPr>
        <w:tblStyle w:val="TableGrid"/>
        <w:tblW w:w="4747" w:type="pct"/>
        <w:tblInd w:w="468" w:type="dxa"/>
        <w:tblLook w:val="04A0"/>
      </w:tblPr>
      <w:tblGrid>
        <w:gridCol w:w="670"/>
        <w:gridCol w:w="2902"/>
        <w:gridCol w:w="5476"/>
      </w:tblGrid>
      <w:tr w:rsidR="00FE0203" w:rsidRPr="0072496D" w:rsidTr="002778E2">
        <w:tc>
          <w:tcPr>
            <w:tcW w:w="370" w:type="pct"/>
            <w:shd w:val="clear" w:color="auto" w:fill="D9D9D9" w:themeFill="background1" w:themeFillShade="D9"/>
          </w:tcPr>
          <w:p w:rsidR="00FE0203" w:rsidRPr="0072496D" w:rsidRDefault="008A382A"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8A382A">
              <w:rPr>
                <w:rFonts w:ascii="Arial" w:hAnsi="Arial" w:cs="Arial"/>
                <w:b/>
                <w:color w:val="000000"/>
                <w:spacing w:val="3"/>
                <w:sz w:val="20"/>
                <w:szCs w:val="20"/>
              </w:rPr>
              <w:t>STT</w:t>
            </w:r>
          </w:p>
        </w:tc>
        <w:tc>
          <w:tcPr>
            <w:tcW w:w="1604" w:type="pct"/>
            <w:shd w:val="clear" w:color="auto" w:fill="D9D9D9" w:themeFill="background1" w:themeFillShade="D9"/>
          </w:tcPr>
          <w:p w:rsidR="00FE0203" w:rsidRPr="0072496D" w:rsidRDefault="008A382A"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8A382A">
              <w:rPr>
                <w:rFonts w:ascii="Arial" w:hAnsi="Arial" w:cs="Arial"/>
                <w:b/>
                <w:color w:val="000000"/>
                <w:spacing w:val="3"/>
                <w:sz w:val="20"/>
                <w:szCs w:val="20"/>
              </w:rPr>
              <w:t>Loại tài sản</w:t>
            </w:r>
          </w:p>
        </w:tc>
        <w:tc>
          <w:tcPr>
            <w:tcW w:w="3026" w:type="pct"/>
            <w:shd w:val="clear" w:color="auto" w:fill="D9D9D9" w:themeFill="background1" w:themeFillShade="D9"/>
          </w:tcPr>
          <w:p w:rsidR="00FE0203" w:rsidRPr="0072496D" w:rsidRDefault="008A382A"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8A382A">
              <w:rPr>
                <w:rFonts w:ascii="Arial" w:hAnsi="Arial" w:cs="Arial"/>
                <w:b/>
                <w:color w:val="000000"/>
                <w:spacing w:val="3"/>
                <w:sz w:val="20"/>
                <w:szCs w:val="20"/>
              </w:rPr>
              <w:t>Giá trị cam  kết</w:t>
            </w:r>
          </w:p>
        </w:tc>
      </w:tr>
      <w:tr w:rsidR="00FE0203" w:rsidRPr="0072496D" w:rsidTr="002778E2">
        <w:tc>
          <w:tcPr>
            <w:tcW w:w="370" w:type="pct"/>
          </w:tcPr>
          <w:p w:rsidR="00FE0203" w:rsidRPr="0072496D" w:rsidRDefault="008A382A" w:rsidP="006E2F62">
            <w:pPr>
              <w:spacing w:after="200"/>
              <w:jc w:val="center"/>
              <w:rPr>
                <w:rFonts w:ascii="Arial" w:hAnsi="Arial" w:cs="Arial"/>
                <w:sz w:val="20"/>
                <w:szCs w:val="20"/>
              </w:rPr>
            </w:pPr>
            <w:r>
              <w:rPr>
                <w:rStyle w:val="BodyText1"/>
                <w:rFonts w:ascii="Arial" w:eastAsiaTheme="minorHAnsi" w:hAnsi="Arial" w:cs="Arial"/>
                <w:sz w:val="20"/>
                <w:szCs w:val="20"/>
              </w:rPr>
              <w:t>1</w:t>
            </w:r>
          </w:p>
        </w:tc>
        <w:tc>
          <w:tcPr>
            <w:tcW w:w="1604" w:type="pct"/>
          </w:tcPr>
          <w:p w:rsidR="00FE0203" w:rsidRPr="0072496D" w:rsidRDefault="008A382A" w:rsidP="006E2F62">
            <w:pPr>
              <w:spacing w:after="200"/>
              <w:ind w:left="166" w:right="173"/>
              <w:jc w:val="both"/>
              <w:rPr>
                <w:rFonts w:ascii="Arial" w:hAnsi="Arial" w:cs="Arial"/>
                <w:sz w:val="20"/>
                <w:szCs w:val="20"/>
              </w:rPr>
            </w:pPr>
            <w:r w:rsidRPr="008A382A">
              <w:rPr>
                <w:rFonts w:ascii="Arial" w:hAnsi="Arial" w:cs="Arial"/>
                <w:sz w:val="20"/>
                <w:szCs w:val="20"/>
              </w:rPr>
              <w:t>Quyền chọn Cổ phiếu (mua quyền chọn bán, bán quyền chọn bán, bán quyền chọn mua)</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Giá trị thị trường của vị thế quyền chọn 1 điều chỉnh bởi hệ số delta của quyền chọn = số hợp đồng X Khối lượng cổ phiếu trên mỗi hợp đồng X giá thị trường hiện tại của cổ phiếu X hệ số delta 2</w:t>
            </w:r>
          </w:p>
        </w:tc>
      </w:tr>
      <w:tr w:rsidR="00FE0203" w:rsidRPr="0072496D" w:rsidTr="002778E2">
        <w:tc>
          <w:tcPr>
            <w:tcW w:w="370" w:type="pct"/>
          </w:tcPr>
          <w:p w:rsidR="00FE0203" w:rsidRPr="0072496D" w:rsidRDefault="008A382A" w:rsidP="006E2F62">
            <w:pPr>
              <w:spacing w:after="200"/>
              <w:jc w:val="center"/>
              <w:rPr>
                <w:rFonts w:ascii="Arial" w:hAnsi="Arial" w:cs="Arial"/>
                <w:sz w:val="20"/>
                <w:szCs w:val="20"/>
              </w:rPr>
            </w:pPr>
            <w:r>
              <w:rPr>
                <w:rStyle w:val="BodyText1"/>
                <w:rFonts w:ascii="Arial" w:eastAsiaTheme="minorHAnsi" w:hAnsi="Arial" w:cs="Arial"/>
                <w:sz w:val="20"/>
                <w:szCs w:val="20"/>
              </w:rPr>
              <w:t>2</w:t>
            </w:r>
          </w:p>
        </w:tc>
        <w:tc>
          <w:tcPr>
            <w:tcW w:w="1604" w:type="pct"/>
          </w:tcPr>
          <w:p w:rsidR="00FE0203" w:rsidRPr="0072496D" w:rsidRDefault="008A382A" w:rsidP="006E2F62">
            <w:pPr>
              <w:spacing w:after="200"/>
              <w:ind w:left="166" w:right="173"/>
              <w:jc w:val="both"/>
              <w:rPr>
                <w:rFonts w:ascii="Arial" w:hAnsi="Arial" w:cs="Arial"/>
                <w:sz w:val="20"/>
                <w:szCs w:val="20"/>
              </w:rPr>
            </w:pPr>
            <w:r>
              <w:rPr>
                <w:rStyle w:val="BodyText1"/>
                <w:rFonts w:ascii="Arial" w:eastAsiaTheme="minorHAnsi" w:hAnsi="Arial" w:cs="Arial"/>
                <w:sz w:val="20"/>
                <w:szCs w:val="20"/>
              </w:rPr>
              <w:t>Quyền chọn trái phiếu (mua quyền chọn bán, bán quyền chọn bán, bán quyền chọn mua)</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Giá trị thị trường của vị thế quyền chọn 3 điều chỉnh bởi hệ số delta của quyền chọn = số hợp đồng X mệnh giá X giá thị trưởng hiện tại của trái phiếu X hệ số delta</w:t>
            </w:r>
          </w:p>
        </w:tc>
      </w:tr>
      <w:tr w:rsidR="00FE0203" w:rsidRPr="0072496D" w:rsidTr="002778E2">
        <w:tc>
          <w:tcPr>
            <w:tcW w:w="370" w:type="pct"/>
          </w:tcPr>
          <w:p w:rsidR="00FE0203" w:rsidRPr="0072496D" w:rsidRDefault="008A382A" w:rsidP="006E2F62">
            <w:pPr>
              <w:spacing w:after="200"/>
              <w:jc w:val="center"/>
              <w:rPr>
                <w:rFonts w:ascii="Arial" w:hAnsi="Arial" w:cs="Arial"/>
                <w:sz w:val="20"/>
                <w:szCs w:val="20"/>
              </w:rPr>
            </w:pPr>
            <w:r>
              <w:rPr>
                <w:rStyle w:val="BodyText1"/>
                <w:rFonts w:ascii="Arial" w:eastAsiaTheme="minorHAnsi" w:hAnsi="Arial" w:cs="Arial"/>
                <w:sz w:val="20"/>
                <w:szCs w:val="20"/>
              </w:rPr>
              <w:t>3</w:t>
            </w:r>
          </w:p>
        </w:tc>
        <w:tc>
          <w:tcPr>
            <w:tcW w:w="1604" w:type="pct"/>
          </w:tcPr>
          <w:p w:rsidR="00FE0203" w:rsidRPr="0072496D" w:rsidRDefault="008A382A" w:rsidP="006E2F62">
            <w:pPr>
              <w:spacing w:after="200"/>
              <w:ind w:left="166" w:right="173"/>
              <w:jc w:val="both"/>
              <w:rPr>
                <w:rFonts w:ascii="Arial" w:hAnsi="Arial" w:cs="Arial"/>
                <w:sz w:val="20"/>
                <w:szCs w:val="20"/>
              </w:rPr>
            </w:pPr>
            <w:r w:rsidRPr="008A382A">
              <w:rPr>
                <w:rFonts w:ascii="Arial" w:hAnsi="Arial" w:cs="Arial"/>
                <w:sz w:val="20"/>
                <w:szCs w:val="20"/>
              </w:rPr>
              <w:t>Hợp đồng tương lai chỉ số</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Giá trị thị trường của vị thế tương lai = Số hợp đồng X giá trị tính trên một điểm chỉ số X mức chỉ số hiện tại</w:t>
            </w:r>
          </w:p>
        </w:tc>
      </w:tr>
      <w:tr w:rsidR="00FE0203" w:rsidRPr="0072496D" w:rsidTr="002778E2">
        <w:tc>
          <w:tcPr>
            <w:tcW w:w="370" w:type="pct"/>
          </w:tcPr>
          <w:p w:rsidR="00FE0203" w:rsidRPr="0072496D" w:rsidRDefault="008A382A" w:rsidP="006E2F62">
            <w:pPr>
              <w:spacing w:after="200"/>
              <w:jc w:val="center"/>
              <w:rPr>
                <w:rFonts w:ascii="Arial" w:hAnsi="Arial" w:cs="Arial"/>
                <w:b/>
                <w:sz w:val="20"/>
                <w:szCs w:val="20"/>
              </w:rPr>
            </w:pPr>
            <w:r>
              <w:rPr>
                <w:rStyle w:val="BodytextBold"/>
                <w:rFonts w:ascii="Arial" w:eastAsiaTheme="minorHAnsi" w:hAnsi="Arial" w:cs="Arial"/>
                <w:b w:val="0"/>
                <w:sz w:val="20"/>
                <w:szCs w:val="20"/>
              </w:rPr>
              <w:t>4</w:t>
            </w:r>
          </w:p>
        </w:tc>
        <w:tc>
          <w:tcPr>
            <w:tcW w:w="1604" w:type="pct"/>
          </w:tcPr>
          <w:p w:rsidR="00FE0203" w:rsidRPr="0072496D" w:rsidRDefault="008A382A" w:rsidP="006E2F62">
            <w:pPr>
              <w:spacing w:after="200"/>
              <w:ind w:left="166" w:right="173"/>
              <w:jc w:val="both"/>
              <w:rPr>
                <w:rFonts w:ascii="Arial" w:hAnsi="Arial" w:cs="Arial"/>
                <w:sz w:val="20"/>
                <w:szCs w:val="20"/>
              </w:rPr>
            </w:pPr>
            <w:r w:rsidRPr="008A382A">
              <w:rPr>
                <w:rFonts w:ascii="Arial" w:hAnsi="Arial" w:cs="Arial"/>
                <w:sz w:val="20"/>
                <w:szCs w:val="20"/>
              </w:rPr>
              <w:t>Hợp đồng tương lai trái phiếu</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Giá trị thị trường của vị thế tương lai = Số hợp đồng X giá trị của hợp đồng tính theo mệnh giá (notional) X giá trị thị trường của trái phiếu rẻ nhất có thể chuyển giao</w:t>
            </w:r>
          </w:p>
        </w:tc>
      </w:tr>
      <w:tr w:rsidR="00FE0203" w:rsidRPr="0072496D" w:rsidTr="002778E2">
        <w:tc>
          <w:tcPr>
            <w:tcW w:w="370" w:type="pct"/>
          </w:tcPr>
          <w:p w:rsidR="00FE0203" w:rsidRPr="0072496D" w:rsidRDefault="008A382A" w:rsidP="006E2F62">
            <w:pPr>
              <w:spacing w:after="200"/>
              <w:jc w:val="center"/>
              <w:rPr>
                <w:rFonts w:ascii="Arial" w:hAnsi="Arial" w:cs="Arial"/>
                <w:sz w:val="20"/>
                <w:szCs w:val="20"/>
              </w:rPr>
            </w:pPr>
            <w:r>
              <w:rPr>
                <w:rStyle w:val="BodyText1"/>
                <w:rFonts w:ascii="Arial" w:eastAsiaTheme="minorHAnsi" w:hAnsi="Arial" w:cs="Arial"/>
                <w:sz w:val="20"/>
                <w:szCs w:val="20"/>
              </w:rPr>
              <w:t>5</w:t>
            </w:r>
          </w:p>
        </w:tc>
        <w:tc>
          <w:tcPr>
            <w:tcW w:w="1604" w:type="pct"/>
          </w:tcPr>
          <w:p w:rsidR="00FE0203" w:rsidRPr="0072496D" w:rsidRDefault="008A382A" w:rsidP="006E2F62">
            <w:pPr>
              <w:spacing w:after="200"/>
              <w:ind w:left="166"/>
              <w:jc w:val="both"/>
              <w:rPr>
                <w:rFonts w:ascii="Arial" w:hAnsi="Arial" w:cs="Arial"/>
                <w:sz w:val="20"/>
                <w:szCs w:val="20"/>
              </w:rPr>
            </w:pPr>
            <w:r w:rsidRPr="008A382A">
              <w:rPr>
                <w:rFonts w:ascii="Arial" w:hAnsi="Arial" w:cs="Arial"/>
                <w:sz w:val="20"/>
                <w:szCs w:val="20"/>
              </w:rPr>
              <w:t>Các hợp đồng khác</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Theo mô hình do Công ty Quản Lý Quỹ lựa chọn, thông nhất cùng ngân hàng giám sát, và được Ban Đại Diện Quỹ chấp thuận</w:t>
            </w:r>
          </w:p>
        </w:tc>
      </w:tr>
      <w:tr w:rsidR="00FE0203" w:rsidRPr="0072496D" w:rsidTr="006E2F62">
        <w:tc>
          <w:tcPr>
            <w:tcW w:w="5000" w:type="pct"/>
            <w:gridSpan w:val="3"/>
          </w:tcPr>
          <w:p w:rsidR="00FE0203" w:rsidRPr="0072496D" w:rsidRDefault="008A382A" w:rsidP="006E2F62">
            <w:pPr>
              <w:spacing w:after="200"/>
              <w:ind w:left="167" w:right="165"/>
              <w:jc w:val="both"/>
              <w:rPr>
                <w:rStyle w:val="BodyText1"/>
                <w:rFonts w:ascii="Arial" w:eastAsiaTheme="minorHAnsi" w:hAnsi="Arial" w:cs="Arial"/>
                <w:b/>
                <w:i/>
                <w:sz w:val="20"/>
                <w:szCs w:val="20"/>
                <w:u w:val="single"/>
              </w:rPr>
            </w:pPr>
            <w:r>
              <w:rPr>
                <w:rStyle w:val="BodyText1"/>
                <w:rFonts w:ascii="Arial" w:eastAsiaTheme="minorHAnsi" w:hAnsi="Arial" w:cs="Arial"/>
                <w:b/>
                <w:i/>
                <w:sz w:val="20"/>
                <w:szCs w:val="20"/>
                <w:u w:val="single"/>
              </w:rPr>
              <w:t>Ghi chú:</w:t>
            </w:r>
          </w:p>
          <w:p w:rsidR="00FE0203" w:rsidRPr="0072496D" w:rsidRDefault="008A382A" w:rsidP="00FE0203">
            <w:pPr>
              <w:widowControl w:val="0"/>
              <w:numPr>
                <w:ilvl w:val="0"/>
                <w:numId w:val="23"/>
              </w:numPr>
              <w:tabs>
                <w:tab w:val="left" w:pos="139"/>
                <w:tab w:val="left" w:pos="518"/>
              </w:tabs>
              <w:spacing w:after="200"/>
              <w:ind w:left="180" w:right="165"/>
              <w:jc w:val="both"/>
              <w:rPr>
                <w:rFonts w:ascii="Arial" w:hAnsi="Arial" w:cs="Arial"/>
                <w:sz w:val="20"/>
                <w:szCs w:val="20"/>
              </w:rPr>
            </w:pPr>
            <w:r>
              <w:rPr>
                <w:rStyle w:val="BodyText1"/>
                <w:rFonts w:ascii="Arial" w:eastAsiaTheme="minorHAnsi" w:hAnsi="Arial" w:cs="Arial"/>
                <w:sz w:val="20"/>
                <w:szCs w:val="20"/>
              </w:rPr>
              <w:t>Nếu quỹ nắm vị thế mua (long position), giá trị thị trường có thể được điều chỉnh tăng thêm chi phí mua quyền chọn (premium).</w:t>
            </w:r>
          </w:p>
          <w:p w:rsidR="00FE0203" w:rsidRPr="0072496D" w:rsidRDefault="008A382A" w:rsidP="00FE0203">
            <w:pPr>
              <w:widowControl w:val="0"/>
              <w:numPr>
                <w:ilvl w:val="0"/>
                <w:numId w:val="23"/>
              </w:numPr>
              <w:tabs>
                <w:tab w:val="left" w:pos="518"/>
                <w:tab w:val="left" w:pos="720"/>
              </w:tabs>
              <w:spacing w:after="200"/>
              <w:ind w:left="180" w:right="165"/>
              <w:jc w:val="both"/>
              <w:rPr>
                <w:rFonts w:ascii="Arial" w:hAnsi="Arial" w:cs="Arial"/>
                <w:sz w:val="20"/>
                <w:szCs w:val="20"/>
              </w:rPr>
            </w:pPr>
            <w:r>
              <w:rPr>
                <w:rStyle w:val="BodyText1"/>
                <w:rFonts w:ascii="Arial" w:eastAsiaTheme="minorHAnsi" w:hAnsi="Arial" w:cs="Arial"/>
                <w:sz w:val="20"/>
                <w:szCs w:val="20"/>
              </w:rPr>
              <w:t>Hệ số delta là đạo hàm bậc nhất của giá quyền chọn đối với giá chứng khoán cơ sở. Trong trưởng hợp đơn giản, hệ số delta có thể coi bằng 1. Trong các trường hợp quyền chọn phức tạp, hệ số delta do Công ty Quản Lý Quỹ, Ngân Hàng Giám Sát xác định sau khi đã được Ban Đại Diện Quỹ chấp thuận.</w:t>
            </w:r>
          </w:p>
          <w:p w:rsidR="00FE0203" w:rsidRPr="0072496D" w:rsidRDefault="008A382A" w:rsidP="00FE0203">
            <w:pPr>
              <w:widowControl w:val="0"/>
              <w:numPr>
                <w:ilvl w:val="0"/>
                <w:numId w:val="23"/>
              </w:numPr>
              <w:tabs>
                <w:tab w:val="left" w:pos="518"/>
                <w:tab w:val="left" w:pos="720"/>
              </w:tabs>
              <w:spacing w:after="200"/>
              <w:ind w:left="180" w:right="165"/>
              <w:jc w:val="both"/>
              <w:rPr>
                <w:rStyle w:val="BodyText1"/>
                <w:rFonts w:ascii="Arial" w:eastAsiaTheme="minorHAnsi" w:hAnsi="Arial" w:cs="Arial"/>
                <w:sz w:val="20"/>
                <w:szCs w:val="20"/>
              </w:rPr>
            </w:pPr>
            <w:r>
              <w:rPr>
                <w:rStyle w:val="BodyText1"/>
                <w:rFonts w:ascii="Arial" w:eastAsiaTheme="minorHAnsi" w:hAnsi="Arial" w:cs="Arial"/>
                <w:sz w:val="20"/>
                <w:szCs w:val="20"/>
              </w:rPr>
              <w:t>Nếu quỹ nắm vị thế mua (long position), giá trị thị trưởng có thể được điều chỉnh tăng thêm chi phí mua quyền chọn (premium).</w:t>
            </w:r>
          </w:p>
        </w:tc>
      </w:tr>
    </w:tbl>
    <w:p w:rsidR="002778E2" w:rsidRPr="0072496D" w:rsidRDefault="00E43706" w:rsidP="00E43706">
      <w:pPr>
        <w:pStyle w:val="BodyTextIndent"/>
        <w:spacing w:before="120" w:line="360" w:lineRule="auto"/>
        <w:ind w:left="0"/>
        <w:jc w:val="both"/>
        <w:rPr>
          <w:rFonts w:ascii="Arial" w:hAnsi="Arial" w:cs="Arial"/>
          <w:b/>
          <w:i/>
          <w:sz w:val="20"/>
          <w:szCs w:val="20"/>
          <w:lang w:val="es-MX"/>
        </w:rPr>
      </w:pPr>
      <w:r>
        <w:rPr>
          <w:rFonts w:ascii="Arial" w:hAnsi="Arial" w:cs="Arial"/>
          <w:b/>
          <w:i/>
          <w:sz w:val="20"/>
          <w:szCs w:val="20"/>
          <w:lang w:val="es-MX"/>
        </w:rPr>
        <w:t xml:space="preserve">     </w:t>
      </w:r>
      <w:r w:rsidR="0005127A" w:rsidRPr="0005127A">
        <w:rPr>
          <w:rFonts w:ascii="Arial" w:hAnsi="Arial" w:cs="Arial"/>
          <w:b/>
          <w:i/>
          <w:sz w:val="20"/>
          <w:szCs w:val="20"/>
          <w:lang w:val="es-MX"/>
        </w:rPr>
        <w:t>Lãi</w:t>
      </w:r>
      <w:proofErr w:type="gramStart"/>
      <w:r w:rsidR="0005127A" w:rsidRPr="0005127A">
        <w:rPr>
          <w:rFonts w:ascii="Arial" w:hAnsi="Arial" w:cs="Arial"/>
          <w:b/>
          <w:i/>
          <w:sz w:val="20"/>
          <w:szCs w:val="20"/>
          <w:lang w:val="es-MX"/>
        </w:rPr>
        <w:t>/(</w:t>
      </w:r>
      <w:proofErr w:type="gramEnd"/>
      <w:r w:rsidR="0005127A" w:rsidRPr="0005127A">
        <w:rPr>
          <w:rFonts w:ascii="Arial" w:hAnsi="Arial" w:cs="Arial"/>
          <w:b/>
          <w:i/>
          <w:sz w:val="20"/>
          <w:szCs w:val="20"/>
          <w:lang w:val="es-MX"/>
        </w:rPr>
        <w:t>lỗ) do đánh giá lại các khoản đầu tư</w:t>
      </w:r>
    </w:p>
    <w:p w:rsidR="00C156AE" w:rsidRPr="0072496D" w:rsidRDefault="0005127A" w:rsidP="00C156AE">
      <w:pPr>
        <w:pStyle w:val="BodyTextIndent"/>
        <w:spacing w:before="120" w:line="360" w:lineRule="auto"/>
        <w:jc w:val="both"/>
        <w:rPr>
          <w:rFonts w:ascii="Arial" w:hAnsi="Arial" w:cs="Arial"/>
          <w:sz w:val="20"/>
          <w:szCs w:val="20"/>
          <w:lang w:val="es-MX"/>
        </w:rPr>
      </w:pPr>
      <w:r w:rsidRPr="0005127A">
        <w:rPr>
          <w:rFonts w:ascii="Arial" w:hAnsi="Arial" w:cs="Arial"/>
          <w:sz w:val="20"/>
          <w:szCs w:val="20"/>
          <w:lang w:val="es-MX"/>
        </w:rPr>
        <w:t>Các khoản lãi hoặc lỗ do đánh giá lại khoản đầu tư được ghi nhận vào báo cáo thu nhập theo quy định tại Thông tư số 198/2012/TT-BTC ngày 15 tháng 11 năm 2012 do Bộ Tài chính ban hành.</w:t>
      </w:r>
    </w:p>
    <w:p w:rsidR="002778E2" w:rsidRPr="0072496D" w:rsidRDefault="008A382A" w:rsidP="005762E9">
      <w:pPr>
        <w:pStyle w:val="BodyTextIndent"/>
        <w:spacing w:before="120" w:line="360" w:lineRule="auto"/>
        <w:jc w:val="both"/>
        <w:rPr>
          <w:rFonts w:ascii="Arial" w:hAnsi="Arial" w:cs="Arial"/>
          <w:b/>
          <w:i/>
          <w:sz w:val="20"/>
          <w:szCs w:val="20"/>
          <w:lang w:val="es-MX"/>
        </w:rPr>
      </w:pPr>
      <w:r w:rsidRPr="008A382A">
        <w:rPr>
          <w:rFonts w:ascii="Arial" w:hAnsi="Arial" w:cs="Arial"/>
          <w:b/>
          <w:i/>
          <w:sz w:val="20"/>
          <w:szCs w:val="20"/>
          <w:lang w:val="es-MX"/>
        </w:rPr>
        <w:t>Chấm dứt ghi nhận</w:t>
      </w:r>
    </w:p>
    <w:p w:rsidR="002778E2" w:rsidRPr="0072496D" w:rsidRDefault="008A382A" w:rsidP="005762E9">
      <w:pPr>
        <w:pStyle w:val="BodyTextIndent"/>
        <w:spacing w:before="120" w:line="360" w:lineRule="auto"/>
        <w:jc w:val="both"/>
        <w:rPr>
          <w:rFonts w:ascii="Arial" w:hAnsi="Arial" w:cs="Arial"/>
          <w:sz w:val="20"/>
          <w:szCs w:val="20"/>
          <w:lang w:val="es-MX"/>
        </w:rPr>
      </w:pPr>
      <w:r w:rsidRPr="008A382A">
        <w:rPr>
          <w:rFonts w:ascii="Arial" w:hAnsi="Arial" w:cs="Arial"/>
          <w:sz w:val="20"/>
          <w:szCs w:val="20"/>
          <w:lang w:val="es-MX"/>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484381" w:rsidRPr="0072496D" w:rsidRDefault="008A382A" w:rsidP="005762E9">
      <w:pPr>
        <w:pStyle w:val="BodyTextIndent"/>
        <w:spacing w:before="120" w:line="360" w:lineRule="auto"/>
        <w:jc w:val="both"/>
        <w:rPr>
          <w:rFonts w:ascii="Arial" w:eastAsia="Times New Roman" w:hAnsi="Arial" w:cs="Arial"/>
          <w:b/>
          <w:bCs/>
          <w:i/>
          <w:sz w:val="20"/>
          <w:szCs w:val="20"/>
          <w:lang w:eastAsia="en-GB"/>
        </w:rPr>
      </w:pPr>
      <w:r w:rsidRPr="008A382A">
        <w:rPr>
          <w:rFonts w:ascii="Arial" w:hAnsi="Arial" w:cs="Arial"/>
          <w:sz w:val="20"/>
          <w:szCs w:val="20"/>
          <w:lang w:val="es-MX"/>
        </w:rPr>
        <w:t>Lãi</w:t>
      </w:r>
      <w:proofErr w:type="gramStart"/>
      <w:r w:rsidRPr="008A382A">
        <w:rPr>
          <w:rFonts w:ascii="Arial" w:hAnsi="Arial" w:cs="Arial"/>
          <w:sz w:val="20"/>
          <w:szCs w:val="20"/>
          <w:lang w:val="es-MX"/>
        </w:rPr>
        <w:t>/(</w:t>
      </w:r>
      <w:proofErr w:type="gramEnd"/>
      <w:r w:rsidRPr="008A382A">
        <w:rPr>
          <w:rFonts w:ascii="Arial" w:hAnsi="Arial" w:cs="Arial"/>
          <w:sz w:val="20"/>
          <w:szCs w:val="20"/>
          <w:lang w:val="es-MX"/>
        </w:rPr>
        <w:t>lỗ) từ hoạt động bán các khoản đầu tư thể hiện phần chênh lệch giữa giá bán và giá vốn của các khoản đầu tư được xác định theo phương pháp bình quân gia quyền tại cuối ngày giao dịch.</w:t>
      </w:r>
      <w:r w:rsidR="0005127A" w:rsidRPr="0005127A">
        <w:rPr>
          <w:rFonts w:ascii="Arial" w:eastAsia="Times New Roman" w:hAnsi="Arial" w:cs="Arial"/>
          <w:b/>
          <w:bCs/>
          <w:i/>
          <w:sz w:val="20"/>
          <w:szCs w:val="20"/>
          <w:lang w:eastAsia="en-GB"/>
        </w:rPr>
        <w:br w:type="page"/>
      </w:r>
    </w:p>
    <w:p w:rsidR="00B71FF1" w:rsidRPr="0072496D" w:rsidRDefault="0005127A" w:rsidP="00AA2399">
      <w:pPr>
        <w:spacing w:before="120" w:after="120" w:line="360" w:lineRule="auto"/>
        <w:ind w:left="720"/>
        <w:jc w:val="both"/>
        <w:rPr>
          <w:rFonts w:ascii="Arial" w:eastAsia="Times New Roman" w:hAnsi="Arial" w:cs="Arial"/>
          <w:b/>
          <w:bCs/>
          <w:i/>
          <w:sz w:val="20"/>
          <w:szCs w:val="20"/>
          <w:lang w:eastAsia="en-GB"/>
        </w:rPr>
      </w:pPr>
      <w:r w:rsidRPr="0005127A">
        <w:rPr>
          <w:rFonts w:ascii="Arial" w:eastAsia="Times New Roman" w:hAnsi="Arial" w:cs="Arial"/>
          <w:b/>
          <w:bCs/>
          <w:i/>
          <w:sz w:val="20"/>
          <w:szCs w:val="20"/>
          <w:lang w:eastAsia="en-GB"/>
        </w:rPr>
        <w:lastRenderedPageBreak/>
        <w:tab/>
      </w:r>
      <w:r w:rsidRPr="0005127A">
        <w:rPr>
          <w:rFonts w:ascii="Arial" w:eastAsia="Times New Roman" w:hAnsi="Arial" w:cs="Arial"/>
          <w:b/>
          <w:bCs/>
          <w:i/>
          <w:sz w:val="20"/>
          <w:szCs w:val="20"/>
          <w:lang w:eastAsia="en-GB"/>
        </w:rPr>
        <w:tab/>
      </w:r>
    </w:p>
    <w:p w:rsidR="00B71FF1" w:rsidRPr="0072496D" w:rsidRDefault="0005127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Các khoản phải thu</w:t>
      </w:r>
    </w:p>
    <w:p w:rsidR="00637E50" w:rsidRPr="0072496D" w:rsidRDefault="0005127A" w:rsidP="00AA2399">
      <w:pPr>
        <w:spacing w:before="120" w:after="120" w:line="360" w:lineRule="auto"/>
        <w:ind w:left="720"/>
        <w:jc w:val="both"/>
        <w:rPr>
          <w:rFonts w:ascii="Arial" w:hAnsi="Arial" w:cs="Arial"/>
          <w:sz w:val="20"/>
          <w:szCs w:val="20"/>
        </w:rPr>
      </w:pPr>
      <w:r w:rsidRPr="0005127A">
        <w:rPr>
          <w:rFonts w:ascii="Arial" w:hAnsi="Arial" w:cs="Arial"/>
          <w:sz w:val="20"/>
          <w:szCs w:val="20"/>
        </w:rPr>
        <w:t xml:space="preserve">Các khoản phải </w:t>
      </w:r>
      <w:proofErr w:type="gramStart"/>
      <w:r w:rsidRPr="0005127A">
        <w:rPr>
          <w:rFonts w:ascii="Arial" w:hAnsi="Arial" w:cs="Arial"/>
          <w:sz w:val="20"/>
          <w:szCs w:val="20"/>
        </w:rPr>
        <w:t>thu</w:t>
      </w:r>
      <w:proofErr w:type="gramEnd"/>
      <w:r w:rsidRPr="0005127A">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05127A">
        <w:rPr>
          <w:rFonts w:ascii="Arial" w:hAnsi="Arial" w:cs="Arial"/>
          <w:sz w:val="20"/>
          <w:szCs w:val="20"/>
        </w:rPr>
        <w:t>thu</w:t>
      </w:r>
      <w:proofErr w:type="gramEnd"/>
      <w:r w:rsidRPr="0005127A">
        <w:rPr>
          <w:rFonts w:ascii="Arial" w:hAnsi="Arial" w:cs="Arial"/>
          <w:sz w:val="20"/>
          <w:szCs w:val="20"/>
        </w:rPr>
        <w:t xml:space="preserve"> được phản ánh theo nguyên giá trừ đi dự phòng phải thu khó đòi.</w:t>
      </w:r>
    </w:p>
    <w:p w:rsidR="00637E50" w:rsidRPr="0072496D" w:rsidRDefault="0005127A" w:rsidP="00AA2399">
      <w:pPr>
        <w:spacing w:before="120" w:after="120" w:line="360" w:lineRule="auto"/>
        <w:ind w:left="720"/>
        <w:jc w:val="both"/>
        <w:rPr>
          <w:rFonts w:ascii="Arial" w:hAnsi="Arial" w:cs="Arial"/>
          <w:sz w:val="20"/>
          <w:szCs w:val="20"/>
        </w:rPr>
      </w:pPr>
      <w:r w:rsidRPr="0005127A">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72496D" w:rsidRDefault="0005127A" w:rsidP="008B7FE9">
      <w:pPr>
        <w:spacing w:before="120" w:after="120" w:line="360" w:lineRule="auto"/>
        <w:ind w:left="720"/>
        <w:jc w:val="both"/>
        <w:rPr>
          <w:rFonts w:ascii="Arial" w:hAnsi="Arial" w:cs="Arial"/>
          <w:sz w:val="20"/>
          <w:szCs w:val="20"/>
        </w:rPr>
      </w:pPr>
      <w:r w:rsidRPr="0005127A">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tblPr>
      <w:tblGrid>
        <w:gridCol w:w="5490"/>
        <w:gridCol w:w="2740"/>
      </w:tblGrid>
      <w:tr w:rsidR="00E34A50" w:rsidRPr="0072496D"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72496D" w:rsidRDefault="0005127A" w:rsidP="00AA2399">
            <w:pPr>
              <w:spacing w:before="120" w:after="120" w:line="360" w:lineRule="auto"/>
              <w:jc w:val="both"/>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72496D" w:rsidRDefault="0005127A" w:rsidP="00AA2399">
            <w:pPr>
              <w:spacing w:before="120" w:after="120" w:line="360" w:lineRule="auto"/>
              <w:jc w:val="both"/>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Mức trích lập dự phòng</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05127A" w:rsidP="004723EE">
            <w:pPr>
              <w:spacing w:before="120" w:after="120" w:line="360" w:lineRule="auto"/>
              <w:contextualSpacing/>
              <w:jc w:val="both"/>
              <w:rPr>
                <w:rFonts w:ascii="Arial" w:eastAsia="Times New Roman" w:hAnsi="Arial" w:cs="Arial"/>
                <w:sz w:val="20"/>
                <w:szCs w:val="20"/>
                <w:lang w:eastAsia="en-GB"/>
              </w:rPr>
            </w:pPr>
            <w:r w:rsidRPr="0005127A">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72496D" w:rsidRDefault="0005127A" w:rsidP="004723EE">
            <w:pPr>
              <w:spacing w:before="120" w:after="120" w:line="360" w:lineRule="auto"/>
              <w:contextualSpacing/>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30%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05127A" w:rsidP="004723EE">
            <w:pPr>
              <w:spacing w:before="120" w:after="120" w:line="360" w:lineRule="auto"/>
              <w:contextualSpacing/>
              <w:jc w:val="both"/>
              <w:rPr>
                <w:rFonts w:ascii="Arial" w:eastAsia="Times New Roman" w:hAnsi="Arial" w:cs="Arial"/>
                <w:sz w:val="20"/>
                <w:szCs w:val="20"/>
                <w:lang w:eastAsia="en-GB"/>
              </w:rPr>
            </w:pPr>
            <w:r w:rsidRPr="0005127A">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72496D" w:rsidRDefault="0005127A" w:rsidP="004723EE">
            <w:pPr>
              <w:spacing w:before="120" w:after="120" w:line="360" w:lineRule="auto"/>
              <w:contextualSpacing/>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50%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05127A" w:rsidP="004723EE">
            <w:pPr>
              <w:spacing w:before="120" w:after="120" w:line="360" w:lineRule="auto"/>
              <w:contextualSpacing/>
              <w:jc w:val="both"/>
              <w:rPr>
                <w:rFonts w:ascii="Arial" w:eastAsia="Times New Roman" w:hAnsi="Arial" w:cs="Arial"/>
                <w:sz w:val="20"/>
                <w:szCs w:val="20"/>
                <w:lang w:eastAsia="en-GB"/>
              </w:rPr>
            </w:pPr>
            <w:r w:rsidRPr="0005127A">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72496D" w:rsidRDefault="0005127A" w:rsidP="004723EE">
            <w:pPr>
              <w:spacing w:before="120" w:after="120" w:line="360" w:lineRule="auto"/>
              <w:contextualSpacing/>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70%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05127A" w:rsidP="004723EE">
            <w:pPr>
              <w:spacing w:before="120" w:after="120" w:line="360" w:lineRule="auto"/>
              <w:contextualSpacing/>
              <w:jc w:val="both"/>
              <w:rPr>
                <w:rFonts w:ascii="Arial" w:eastAsia="Times New Roman" w:hAnsi="Arial" w:cs="Arial"/>
                <w:sz w:val="20"/>
                <w:szCs w:val="20"/>
                <w:lang w:eastAsia="en-GB"/>
              </w:rPr>
            </w:pPr>
            <w:r w:rsidRPr="0005127A">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72496D" w:rsidRDefault="0005127A" w:rsidP="004723EE">
            <w:pPr>
              <w:spacing w:before="120" w:after="120" w:line="360" w:lineRule="auto"/>
              <w:contextualSpacing/>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100%</w:t>
            </w:r>
          </w:p>
        </w:tc>
      </w:tr>
    </w:tbl>
    <w:p w:rsidR="00B71FF1" w:rsidRPr="0072496D" w:rsidRDefault="0005127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Các khoản phải trả</w:t>
      </w:r>
    </w:p>
    <w:p w:rsidR="00637E50" w:rsidRPr="0072496D" w:rsidRDefault="0005127A" w:rsidP="00AA2399">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05127A">
        <w:rPr>
          <w:rFonts w:ascii="Arial" w:eastAsia="Times New Roman" w:hAnsi="Arial" w:cs="Arial"/>
          <w:bCs/>
          <w:sz w:val="20"/>
          <w:szCs w:val="20"/>
          <w:lang w:eastAsia="en-GB"/>
        </w:rPr>
        <w:t>theo</w:t>
      </w:r>
      <w:proofErr w:type="gramEnd"/>
      <w:r w:rsidRPr="0005127A">
        <w:rPr>
          <w:rFonts w:ascii="Arial" w:eastAsia="Times New Roman" w:hAnsi="Arial" w:cs="Arial"/>
          <w:bCs/>
          <w:sz w:val="20"/>
          <w:szCs w:val="20"/>
          <w:lang w:eastAsia="en-GB"/>
        </w:rPr>
        <w:t xml:space="preserve"> giá gốc.</w:t>
      </w:r>
    </w:p>
    <w:p w:rsidR="00637E50" w:rsidRPr="0072496D" w:rsidRDefault="0005127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Dự phòng</w:t>
      </w:r>
    </w:p>
    <w:p w:rsidR="00637E50" w:rsidRPr="0072496D" w:rsidRDefault="0005127A" w:rsidP="00AA2399">
      <w:pPr>
        <w:pStyle w:val="ListParagraph"/>
        <w:spacing w:before="120" w:after="120" w:line="360" w:lineRule="auto"/>
        <w:contextualSpacing w:val="0"/>
        <w:jc w:val="both"/>
        <w:rPr>
          <w:rFonts w:ascii="Arial" w:hAnsi="Arial" w:cs="Arial"/>
          <w:sz w:val="20"/>
          <w:szCs w:val="20"/>
        </w:rPr>
      </w:pPr>
      <w:r w:rsidRPr="0005127A">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72496D" w:rsidRDefault="0005127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Nguyên tắc ghi nhận vốn chủ sở hữu</w:t>
      </w:r>
    </w:p>
    <w:p w:rsidR="00AA2399" w:rsidRPr="0072496D" w:rsidRDefault="0005127A" w:rsidP="00B75203">
      <w:pPr>
        <w:pStyle w:val="ListParagraph"/>
        <w:spacing w:before="120" w:after="120" w:line="360" w:lineRule="auto"/>
        <w:ind w:left="709"/>
        <w:jc w:val="both"/>
        <w:rPr>
          <w:rFonts w:ascii="Arial" w:hAnsi="Arial" w:cs="Arial"/>
          <w:sz w:val="20"/>
          <w:szCs w:val="20"/>
        </w:rPr>
      </w:pPr>
      <w:proofErr w:type="gramStart"/>
      <w:r w:rsidRPr="0005127A">
        <w:rPr>
          <w:rFonts w:ascii="Arial" w:hAnsi="Arial" w:cs="Arial"/>
          <w:sz w:val="20"/>
          <w:szCs w:val="20"/>
        </w:rPr>
        <w:t>Các Chứng chỉ Quỹ với quyền hưởng cổ tức được phân loại là vốn chủ sở hữu.</w:t>
      </w:r>
      <w:proofErr w:type="gramEnd"/>
      <w:r w:rsidRPr="0005127A">
        <w:rPr>
          <w:rFonts w:ascii="Arial" w:hAnsi="Arial" w:cs="Arial"/>
          <w:sz w:val="20"/>
          <w:szCs w:val="20"/>
        </w:rPr>
        <w:t xml:space="preserve"> Mỗi đơn vị quỹ có mệnh giá là 10.000 đồng Việt Nam. </w:t>
      </w:r>
    </w:p>
    <w:p w:rsidR="00AA2399" w:rsidRPr="0072496D" w:rsidRDefault="0005127A" w:rsidP="00B75203">
      <w:pPr>
        <w:pStyle w:val="ListParagraph"/>
        <w:spacing w:before="120" w:after="120" w:line="360" w:lineRule="auto"/>
        <w:ind w:left="709"/>
        <w:jc w:val="both"/>
        <w:rPr>
          <w:rFonts w:ascii="Arial" w:hAnsi="Arial" w:cs="Arial"/>
          <w:sz w:val="20"/>
          <w:szCs w:val="20"/>
        </w:rPr>
      </w:pPr>
      <w:proofErr w:type="gramStart"/>
      <w:r w:rsidRPr="0005127A">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72496D" w:rsidRDefault="0005127A" w:rsidP="00B75203">
      <w:pPr>
        <w:pStyle w:val="ListParagraph"/>
        <w:spacing w:before="240" w:after="240" w:line="360" w:lineRule="auto"/>
        <w:ind w:left="709"/>
        <w:jc w:val="both"/>
        <w:rPr>
          <w:rFonts w:ascii="Arial" w:hAnsi="Arial" w:cs="Arial"/>
          <w:b/>
          <w:i/>
          <w:sz w:val="20"/>
          <w:szCs w:val="20"/>
        </w:rPr>
      </w:pPr>
      <w:r w:rsidRPr="0005127A">
        <w:rPr>
          <w:rFonts w:ascii="Arial" w:hAnsi="Arial" w:cs="Arial"/>
          <w:b/>
          <w:i/>
          <w:sz w:val="20"/>
          <w:szCs w:val="20"/>
        </w:rPr>
        <w:t>Vốn góp phát hành</w:t>
      </w:r>
    </w:p>
    <w:p w:rsidR="00AA2399" w:rsidRPr="0072496D" w:rsidRDefault="0005127A" w:rsidP="00B75203">
      <w:pPr>
        <w:pStyle w:val="ListParagraph"/>
        <w:spacing w:before="120" w:after="120" w:line="360" w:lineRule="auto"/>
        <w:ind w:left="709"/>
        <w:jc w:val="both"/>
        <w:rPr>
          <w:rFonts w:ascii="Arial" w:hAnsi="Arial" w:cs="Arial"/>
          <w:sz w:val="20"/>
          <w:szCs w:val="20"/>
        </w:rPr>
      </w:pPr>
      <w:r w:rsidRPr="0005127A">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05127A">
        <w:rPr>
          <w:rFonts w:ascii="Arial" w:hAnsi="Arial" w:cs="Arial"/>
          <w:sz w:val="20"/>
          <w:szCs w:val="20"/>
        </w:rPr>
        <w:t>theo</w:t>
      </w:r>
      <w:proofErr w:type="gramEnd"/>
      <w:r w:rsidRPr="0005127A">
        <w:rPr>
          <w:rFonts w:ascii="Arial" w:hAnsi="Arial" w:cs="Arial"/>
          <w:sz w:val="20"/>
          <w:szCs w:val="20"/>
        </w:rPr>
        <w:t xml:space="preserve"> mệnh giá.</w:t>
      </w:r>
    </w:p>
    <w:p w:rsidR="00AA2399" w:rsidRPr="0072496D" w:rsidRDefault="0005127A" w:rsidP="00B75203">
      <w:pPr>
        <w:pStyle w:val="ListParagraph"/>
        <w:spacing w:before="120" w:after="120" w:line="360" w:lineRule="auto"/>
        <w:ind w:left="709"/>
        <w:jc w:val="both"/>
        <w:rPr>
          <w:rFonts w:ascii="Arial" w:hAnsi="Arial" w:cs="Arial"/>
          <w:b/>
          <w:i/>
          <w:sz w:val="20"/>
          <w:szCs w:val="20"/>
        </w:rPr>
      </w:pPr>
      <w:r w:rsidRPr="0005127A">
        <w:rPr>
          <w:rFonts w:ascii="Arial" w:hAnsi="Arial" w:cs="Arial"/>
          <w:b/>
          <w:i/>
          <w:sz w:val="20"/>
          <w:szCs w:val="20"/>
        </w:rPr>
        <w:t>Vốn góp mua lại</w:t>
      </w:r>
    </w:p>
    <w:p w:rsidR="00AA2399" w:rsidRPr="0072496D" w:rsidRDefault="0005127A" w:rsidP="00B75203">
      <w:pPr>
        <w:pStyle w:val="ListParagraph"/>
        <w:spacing w:before="120" w:after="120" w:line="360" w:lineRule="auto"/>
        <w:ind w:left="709"/>
        <w:jc w:val="both"/>
        <w:rPr>
          <w:rFonts w:ascii="Arial" w:hAnsi="Arial" w:cs="Arial"/>
          <w:sz w:val="20"/>
          <w:szCs w:val="20"/>
        </w:rPr>
      </w:pPr>
      <w:proofErr w:type="gramStart"/>
      <w:r w:rsidRPr="0005127A">
        <w:rPr>
          <w:rFonts w:ascii="Arial" w:hAnsi="Arial" w:cs="Arial"/>
          <w:sz w:val="20"/>
          <w:szCs w:val="20"/>
        </w:rPr>
        <w:t>Vốn góp mua lại phản ánh tình hình mua lại Chứng chỉ Quỹ của các Nhà Đầu tư tại các kỳ giao dịch Chứng chỉ Quỹ.</w:t>
      </w:r>
      <w:proofErr w:type="gramEnd"/>
      <w:r w:rsidRPr="0005127A">
        <w:rPr>
          <w:rFonts w:ascii="Arial" w:hAnsi="Arial" w:cs="Arial"/>
          <w:sz w:val="20"/>
          <w:szCs w:val="20"/>
        </w:rPr>
        <w:t xml:space="preserve"> Vốn góp mua lại được phản ánh </w:t>
      </w:r>
      <w:proofErr w:type="gramStart"/>
      <w:r w:rsidRPr="0005127A">
        <w:rPr>
          <w:rFonts w:ascii="Arial" w:hAnsi="Arial" w:cs="Arial"/>
          <w:sz w:val="20"/>
          <w:szCs w:val="20"/>
        </w:rPr>
        <w:t>theo</w:t>
      </w:r>
      <w:proofErr w:type="gramEnd"/>
      <w:r w:rsidRPr="0005127A">
        <w:rPr>
          <w:rFonts w:ascii="Arial" w:hAnsi="Arial" w:cs="Arial"/>
          <w:sz w:val="20"/>
          <w:szCs w:val="20"/>
        </w:rPr>
        <w:t xml:space="preserve"> mệnh giá.</w:t>
      </w:r>
    </w:p>
    <w:p w:rsidR="008A4900" w:rsidRDefault="0005127A">
      <w:pPr>
        <w:pStyle w:val="ListParagraph"/>
        <w:spacing w:before="120" w:after="120" w:line="360" w:lineRule="auto"/>
        <w:ind w:left="706"/>
        <w:contextualSpacing w:val="0"/>
        <w:jc w:val="both"/>
        <w:rPr>
          <w:rFonts w:ascii="Arial" w:hAnsi="Arial" w:cs="Arial"/>
          <w:b/>
          <w:i/>
          <w:sz w:val="20"/>
          <w:szCs w:val="20"/>
        </w:rPr>
      </w:pPr>
      <w:r w:rsidRPr="0005127A">
        <w:rPr>
          <w:rFonts w:ascii="Arial" w:hAnsi="Arial" w:cs="Arial"/>
          <w:b/>
          <w:i/>
          <w:sz w:val="20"/>
          <w:szCs w:val="20"/>
        </w:rPr>
        <w:lastRenderedPageBreak/>
        <w:t>Thặng dư vốn góp của Nhà Đầu tư</w:t>
      </w:r>
    </w:p>
    <w:p w:rsidR="008A4900" w:rsidRDefault="0005127A">
      <w:pPr>
        <w:pStyle w:val="ListParagraph"/>
        <w:spacing w:before="120" w:after="120" w:line="360" w:lineRule="auto"/>
        <w:ind w:left="706"/>
        <w:contextualSpacing w:val="0"/>
        <w:jc w:val="both"/>
        <w:rPr>
          <w:rFonts w:ascii="Arial" w:hAnsi="Arial" w:cs="Arial"/>
          <w:b/>
          <w:i/>
          <w:sz w:val="20"/>
          <w:szCs w:val="20"/>
          <w:lang w:val="vi-VN"/>
        </w:rPr>
      </w:pPr>
      <w:proofErr w:type="gramStart"/>
      <w:r w:rsidRPr="0005127A">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rsidR="008A4900" w:rsidRDefault="0005127A">
      <w:pPr>
        <w:pStyle w:val="ListParagraph"/>
        <w:spacing w:before="120" w:after="120" w:line="360" w:lineRule="auto"/>
        <w:ind w:left="709"/>
        <w:contextualSpacing w:val="0"/>
        <w:jc w:val="both"/>
        <w:rPr>
          <w:rFonts w:ascii="Arial" w:hAnsi="Arial" w:cs="Arial"/>
          <w:b/>
          <w:i/>
          <w:sz w:val="20"/>
          <w:szCs w:val="20"/>
        </w:rPr>
      </w:pPr>
      <w:r w:rsidRPr="0005127A">
        <w:rPr>
          <w:rFonts w:ascii="Arial" w:hAnsi="Arial" w:cs="Arial"/>
          <w:b/>
          <w:i/>
          <w:sz w:val="20"/>
          <w:szCs w:val="20"/>
        </w:rPr>
        <w:t>Lợi nhuận</w:t>
      </w:r>
      <w:proofErr w:type="gramStart"/>
      <w:r w:rsidRPr="0005127A">
        <w:rPr>
          <w:rFonts w:ascii="Arial" w:hAnsi="Arial" w:cs="Arial"/>
          <w:b/>
          <w:i/>
          <w:sz w:val="20"/>
          <w:szCs w:val="20"/>
        </w:rPr>
        <w:t>/(</w:t>
      </w:r>
      <w:proofErr w:type="gramEnd"/>
      <w:r w:rsidRPr="0005127A">
        <w:rPr>
          <w:rFonts w:ascii="Arial" w:hAnsi="Arial" w:cs="Arial"/>
          <w:b/>
          <w:i/>
          <w:sz w:val="20"/>
          <w:szCs w:val="20"/>
        </w:rPr>
        <w:t>lỗ) chưa phân phối</w:t>
      </w:r>
    </w:p>
    <w:p w:rsidR="00AA2399" w:rsidRPr="0072496D" w:rsidRDefault="0005127A" w:rsidP="004723EE">
      <w:pPr>
        <w:pStyle w:val="ListParagraph"/>
        <w:spacing w:before="120" w:after="120" w:line="360" w:lineRule="auto"/>
        <w:ind w:left="709"/>
        <w:jc w:val="both"/>
        <w:rPr>
          <w:rFonts w:ascii="Arial" w:hAnsi="Arial" w:cs="Arial"/>
          <w:sz w:val="20"/>
          <w:szCs w:val="20"/>
        </w:rPr>
      </w:pPr>
      <w:r w:rsidRPr="0005127A">
        <w:rPr>
          <w:rFonts w:ascii="Arial" w:hAnsi="Arial" w:cs="Arial"/>
          <w:sz w:val="20"/>
          <w:szCs w:val="20"/>
        </w:rPr>
        <w:t>Lợi nhuận</w:t>
      </w:r>
      <w:proofErr w:type="gramStart"/>
      <w:r w:rsidRPr="0005127A">
        <w:rPr>
          <w:rFonts w:ascii="Arial" w:hAnsi="Arial" w:cs="Arial"/>
          <w:sz w:val="20"/>
          <w:szCs w:val="20"/>
        </w:rPr>
        <w:t>/(</w:t>
      </w:r>
      <w:proofErr w:type="gramEnd"/>
      <w:r w:rsidRPr="0005127A">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72496D" w:rsidRDefault="0005127A" w:rsidP="004723EE">
      <w:pPr>
        <w:pStyle w:val="ListParagraph"/>
        <w:spacing w:before="120" w:after="120" w:line="360" w:lineRule="auto"/>
        <w:ind w:left="709"/>
        <w:jc w:val="both"/>
        <w:rPr>
          <w:rFonts w:ascii="Arial" w:hAnsi="Arial" w:cs="Arial"/>
          <w:sz w:val="20"/>
          <w:szCs w:val="20"/>
        </w:rPr>
      </w:pPr>
      <w:r w:rsidRPr="0005127A">
        <w:rPr>
          <w:rFonts w:ascii="Arial" w:hAnsi="Arial" w:cs="Arial"/>
          <w:sz w:val="20"/>
          <w:szCs w:val="20"/>
        </w:rPr>
        <w:t>Lợi nhuận</w:t>
      </w:r>
      <w:proofErr w:type="gramStart"/>
      <w:r w:rsidRPr="0005127A">
        <w:rPr>
          <w:rFonts w:ascii="Arial" w:hAnsi="Arial" w:cs="Arial"/>
          <w:sz w:val="20"/>
          <w:szCs w:val="20"/>
        </w:rPr>
        <w:t>/(</w:t>
      </w:r>
      <w:proofErr w:type="gramEnd"/>
      <w:r w:rsidRPr="0005127A">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72496D" w:rsidRDefault="0005127A" w:rsidP="004723EE">
      <w:pPr>
        <w:pStyle w:val="ListParagraph"/>
        <w:spacing w:before="120" w:after="120" w:line="360" w:lineRule="auto"/>
        <w:ind w:left="709"/>
        <w:jc w:val="both"/>
        <w:rPr>
          <w:rFonts w:ascii="Arial" w:hAnsi="Arial" w:cs="Arial"/>
          <w:sz w:val="20"/>
          <w:szCs w:val="20"/>
        </w:rPr>
      </w:pPr>
      <w:r w:rsidRPr="0005127A">
        <w:rPr>
          <w:rFonts w:ascii="Arial" w:hAnsi="Arial" w:cs="Arial"/>
          <w:sz w:val="20"/>
          <w:szCs w:val="20"/>
        </w:rPr>
        <w:t>Lợi nhuận</w:t>
      </w:r>
      <w:proofErr w:type="gramStart"/>
      <w:r w:rsidRPr="0005127A">
        <w:rPr>
          <w:rFonts w:ascii="Arial" w:hAnsi="Arial" w:cs="Arial"/>
          <w:sz w:val="20"/>
          <w:szCs w:val="20"/>
        </w:rPr>
        <w:t>/(</w:t>
      </w:r>
      <w:proofErr w:type="gramEnd"/>
      <w:r w:rsidRPr="0005127A">
        <w:rPr>
          <w:rFonts w:ascii="Arial" w:hAnsi="Arial" w:cs="Arial"/>
          <w:sz w:val="20"/>
          <w:szCs w:val="20"/>
        </w:rPr>
        <w:t>lỗ) chưa thực hiện trong năm là chênh lệch tăng/(giảm) do đánh giá lại các khoản đầu tư thuộc danh mục đầu tư của Quỹ phát sinh trong năm.</w:t>
      </w:r>
    </w:p>
    <w:p w:rsidR="008A4900" w:rsidRDefault="0005127A">
      <w:pPr>
        <w:pStyle w:val="ListParagraph"/>
        <w:spacing w:before="120" w:after="120" w:line="360" w:lineRule="auto"/>
        <w:ind w:left="706"/>
        <w:contextualSpacing w:val="0"/>
        <w:jc w:val="both"/>
        <w:rPr>
          <w:rFonts w:ascii="Arial" w:hAnsi="Arial" w:cs="Arial"/>
          <w:sz w:val="20"/>
          <w:szCs w:val="20"/>
        </w:rPr>
      </w:pPr>
      <w:r w:rsidRPr="0005127A">
        <w:rPr>
          <w:rFonts w:ascii="Arial" w:hAnsi="Arial" w:cs="Arial"/>
          <w:sz w:val="20"/>
          <w:szCs w:val="20"/>
        </w:rPr>
        <w:t>Cuối năm tài chính, Quỹ xác định lợi nhuận</w:t>
      </w:r>
      <w:proofErr w:type="gramStart"/>
      <w:r w:rsidRPr="0005127A">
        <w:rPr>
          <w:rFonts w:ascii="Arial" w:hAnsi="Arial" w:cs="Arial"/>
          <w:sz w:val="20"/>
          <w:szCs w:val="20"/>
        </w:rPr>
        <w:t>/(</w:t>
      </w:r>
      <w:proofErr w:type="gramEnd"/>
      <w:r w:rsidRPr="0005127A">
        <w:rPr>
          <w:rFonts w:ascii="Arial" w:hAnsi="Arial" w:cs="Arial"/>
          <w:sz w:val="20"/>
          <w:szCs w:val="20"/>
        </w:rPr>
        <w:t>lỗ) đã thực hiện và lợi nhuận/(lỗ) chưa thực hiện trong năm và ghi nhận vào “Lợi nhuận/(lỗ) chưa phân phối”.</w:t>
      </w:r>
      <w:r w:rsidRPr="0005127A">
        <w:rPr>
          <w:rFonts w:ascii="Arial" w:hAnsi="Arial" w:cs="Arial"/>
          <w:sz w:val="20"/>
          <w:szCs w:val="20"/>
        </w:rPr>
        <w:tab/>
      </w:r>
    </w:p>
    <w:p w:rsidR="008A4900" w:rsidRDefault="0005127A">
      <w:pPr>
        <w:pStyle w:val="ListParagraph"/>
        <w:spacing w:before="120" w:after="120" w:line="360" w:lineRule="auto"/>
        <w:ind w:left="706"/>
        <w:contextualSpacing w:val="0"/>
        <w:jc w:val="both"/>
        <w:rPr>
          <w:rFonts w:ascii="Arial" w:hAnsi="Arial" w:cs="Arial"/>
          <w:b/>
          <w:i/>
          <w:sz w:val="20"/>
          <w:szCs w:val="20"/>
        </w:rPr>
      </w:pPr>
      <w:r w:rsidRPr="0005127A">
        <w:rPr>
          <w:rFonts w:ascii="Arial" w:hAnsi="Arial" w:cs="Arial"/>
          <w:b/>
          <w:i/>
          <w:sz w:val="20"/>
          <w:szCs w:val="20"/>
        </w:rPr>
        <w:t>Lợi nhuận/Tài sản phân phối cho Nhà Đầu tư</w:t>
      </w:r>
    </w:p>
    <w:p w:rsidR="00AA2399" w:rsidRPr="0072496D" w:rsidRDefault="0005127A" w:rsidP="004723EE">
      <w:pPr>
        <w:pStyle w:val="ListParagraph"/>
        <w:spacing w:before="120" w:after="120" w:line="360" w:lineRule="auto"/>
        <w:ind w:left="709"/>
        <w:jc w:val="both"/>
        <w:rPr>
          <w:rFonts w:ascii="Arial" w:hAnsi="Arial" w:cs="Arial"/>
          <w:sz w:val="20"/>
          <w:szCs w:val="20"/>
        </w:rPr>
      </w:pPr>
      <w:r w:rsidRPr="0005127A">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8A4900" w:rsidRDefault="0005127A">
      <w:pPr>
        <w:pStyle w:val="ListParagraph"/>
        <w:spacing w:before="120" w:after="120" w:line="360" w:lineRule="auto"/>
        <w:ind w:left="706"/>
        <w:contextualSpacing w:val="0"/>
        <w:jc w:val="both"/>
        <w:rPr>
          <w:rFonts w:ascii="Arial" w:hAnsi="Arial" w:cs="Arial"/>
          <w:sz w:val="20"/>
          <w:szCs w:val="20"/>
        </w:rPr>
      </w:pPr>
      <w:r w:rsidRPr="0005127A">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72496D" w:rsidRDefault="0005127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Doanh thu</w:t>
      </w:r>
    </w:p>
    <w:p w:rsidR="00637E50" w:rsidRPr="0072496D" w:rsidRDefault="0005127A" w:rsidP="00AA2399">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Doanh </w:t>
      </w:r>
      <w:proofErr w:type="gramStart"/>
      <w:r w:rsidRPr="0005127A">
        <w:rPr>
          <w:rFonts w:ascii="Arial" w:eastAsia="Times New Roman" w:hAnsi="Arial" w:cs="Arial"/>
          <w:bCs/>
          <w:sz w:val="20"/>
          <w:szCs w:val="20"/>
          <w:lang w:eastAsia="en-GB"/>
        </w:rPr>
        <w:t>thu</w:t>
      </w:r>
      <w:proofErr w:type="gramEnd"/>
      <w:r w:rsidRPr="0005127A">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05127A">
        <w:rPr>
          <w:rFonts w:ascii="Arial" w:eastAsia="Times New Roman" w:hAnsi="Arial" w:cs="Arial"/>
          <w:bCs/>
          <w:sz w:val="20"/>
          <w:szCs w:val="20"/>
          <w:lang w:eastAsia="en-GB"/>
        </w:rPr>
        <w:t>thu</w:t>
      </w:r>
      <w:proofErr w:type="gramEnd"/>
      <w:r w:rsidRPr="0005127A">
        <w:rPr>
          <w:rFonts w:ascii="Arial" w:eastAsia="Times New Roman" w:hAnsi="Arial" w:cs="Arial"/>
          <w:bCs/>
          <w:sz w:val="20"/>
          <w:szCs w:val="20"/>
          <w:lang w:eastAsia="en-GB"/>
        </w:rPr>
        <w:t>:</w:t>
      </w:r>
    </w:p>
    <w:p w:rsidR="00637E50" w:rsidRPr="0072496D" w:rsidRDefault="0005127A" w:rsidP="00AA2399">
      <w:pPr>
        <w:spacing w:before="120" w:after="120" w:line="360" w:lineRule="auto"/>
        <w:ind w:left="720"/>
        <w:jc w:val="both"/>
        <w:rPr>
          <w:rFonts w:ascii="Arial" w:eastAsia="Times New Roman" w:hAnsi="Arial" w:cs="Arial"/>
          <w:bCs/>
          <w:i/>
          <w:sz w:val="20"/>
          <w:szCs w:val="20"/>
          <w:lang w:eastAsia="en-GB"/>
        </w:rPr>
      </w:pPr>
      <w:r w:rsidRPr="0005127A">
        <w:rPr>
          <w:rFonts w:ascii="Arial" w:eastAsia="Times New Roman" w:hAnsi="Arial" w:cs="Arial"/>
          <w:bCs/>
          <w:i/>
          <w:sz w:val="20"/>
          <w:szCs w:val="20"/>
          <w:lang w:eastAsia="en-GB"/>
        </w:rPr>
        <w:t>Tiền lãi</w:t>
      </w:r>
    </w:p>
    <w:p w:rsidR="00637E50" w:rsidRPr="0072496D" w:rsidRDefault="0005127A" w:rsidP="00AA2399">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05127A">
        <w:rPr>
          <w:rFonts w:ascii="Arial" w:eastAsia="Times New Roman" w:hAnsi="Arial" w:cs="Arial"/>
          <w:bCs/>
          <w:sz w:val="20"/>
          <w:szCs w:val="20"/>
          <w:lang w:eastAsia="en-GB"/>
        </w:rPr>
        <w:t>thu</w:t>
      </w:r>
      <w:proofErr w:type="gramEnd"/>
      <w:r w:rsidRPr="0005127A">
        <w:rPr>
          <w:rFonts w:ascii="Arial" w:eastAsia="Times New Roman" w:hAnsi="Arial" w:cs="Arial"/>
          <w:bCs/>
          <w:sz w:val="20"/>
          <w:szCs w:val="20"/>
          <w:lang w:eastAsia="en-GB"/>
        </w:rPr>
        <w:t xml:space="preserve"> nhập trên cơ sở dự thu trừ khi khả năng thu lãi không chắc chắn.</w:t>
      </w:r>
    </w:p>
    <w:p w:rsidR="00637E50" w:rsidRPr="0072496D" w:rsidRDefault="0005127A" w:rsidP="00AA2399">
      <w:pPr>
        <w:spacing w:before="120" w:after="120" w:line="360" w:lineRule="auto"/>
        <w:ind w:left="720"/>
        <w:jc w:val="both"/>
        <w:rPr>
          <w:rFonts w:ascii="Arial" w:eastAsia="Times New Roman" w:hAnsi="Arial" w:cs="Arial"/>
          <w:bCs/>
          <w:i/>
          <w:sz w:val="20"/>
          <w:szCs w:val="20"/>
          <w:lang w:eastAsia="en-GB"/>
        </w:rPr>
      </w:pPr>
      <w:r w:rsidRPr="0005127A">
        <w:rPr>
          <w:rFonts w:ascii="Arial" w:eastAsia="Times New Roman" w:hAnsi="Arial" w:cs="Arial"/>
          <w:bCs/>
          <w:i/>
          <w:sz w:val="20"/>
          <w:szCs w:val="20"/>
          <w:lang w:eastAsia="en-GB"/>
        </w:rPr>
        <w:t>Cổ tức</w:t>
      </w:r>
    </w:p>
    <w:p w:rsidR="00637E50" w:rsidRPr="0072496D" w:rsidRDefault="0005127A" w:rsidP="00AA2399">
      <w:pPr>
        <w:spacing w:before="120" w:after="120" w:line="360" w:lineRule="auto"/>
        <w:ind w:left="720"/>
        <w:jc w:val="both"/>
        <w:rPr>
          <w:rFonts w:ascii="Arial" w:eastAsia="Times New Roman" w:hAnsi="Arial" w:cs="Arial"/>
          <w:bCs/>
          <w:sz w:val="20"/>
          <w:szCs w:val="20"/>
          <w:lang w:eastAsia="en-GB"/>
        </w:rPr>
      </w:pPr>
      <w:proofErr w:type="gramStart"/>
      <w:r w:rsidRPr="0005127A">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72496D" w:rsidRDefault="0005127A" w:rsidP="00AA2399">
      <w:pPr>
        <w:spacing w:before="120" w:after="120" w:line="360" w:lineRule="auto"/>
        <w:ind w:left="720"/>
        <w:jc w:val="both"/>
        <w:rPr>
          <w:rFonts w:ascii="Arial" w:eastAsia="Times New Roman" w:hAnsi="Arial" w:cs="Arial"/>
          <w:bCs/>
          <w:i/>
          <w:sz w:val="20"/>
          <w:szCs w:val="20"/>
          <w:lang w:eastAsia="en-GB"/>
        </w:rPr>
      </w:pPr>
      <w:r w:rsidRPr="0005127A">
        <w:rPr>
          <w:rFonts w:ascii="Arial" w:eastAsia="Times New Roman" w:hAnsi="Arial" w:cs="Arial"/>
          <w:bCs/>
          <w:i/>
          <w:sz w:val="20"/>
          <w:szCs w:val="20"/>
          <w:lang w:eastAsia="en-GB"/>
        </w:rPr>
        <w:t>Thu nhập từ hoạt động kinh doanh chứng khoán</w:t>
      </w:r>
    </w:p>
    <w:p w:rsidR="00637E50" w:rsidRPr="0072496D" w:rsidRDefault="0005127A" w:rsidP="00AA2399">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05127A">
        <w:rPr>
          <w:rFonts w:ascii="Arial" w:eastAsia="Times New Roman" w:hAnsi="Arial" w:cs="Arial"/>
          <w:bCs/>
          <w:sz w:val="20"/>
          <w:szCs w:val="20"/>
          <w:lang w:eastAsia="en-GB"/>
        </w:rPr>
        <w:t>thu</w:t>
      </w:r>
      <w:proofErr w:type="gramEnd"/>
      <w:r w:rsidRPr="0005127A">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72496D" w:rsidRDefault="0005127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Nguyên tắc ghi nhận các khoản chi phí</w:t>
      </w:r>
      <w:r w:rsidRPr="0005127A">
        <w:rPr>
          <w:rFonts w:ascii="Arial" w:hAnsi="Arial" w:cs="Arial"/>
          <w:b/>
          <w:i/>
          <w:sz w:val="20"/>
          <w:szCs w:val="20"/>
        </w:rPr>
        <w:tab/>
      </w:r>
      <w:r w:rsidRPr="0005127A">
        <w:rPr>
          <w:rFonts w:ascii="Arial" w:hAnsi="Arial" w:cs="Arial"/>
          <w:b/>
          <w:i/>
          <w:sz w:val="20"/>
          <w:szCs w:val="20"/>
        </w:rPr>
        <w:tab/>
      </w:r>
      <w:r w:rsidRPr="0005127A">
        <w:rPr>
          <w:rFonts w:ascii="Arial" w:hAnsi="Arial" w:cs="Arial"/>
          <w:b/>
          <w:i/>
          <w:sz w:val="20"/>
          <w:szCs w:val="20"/>
        </w:rPr>
        <w:tab/>
      </w:r>
      <w:r w:rsidRPr="0005127A">
        <w:rPr>
          <w:rFonts w:ascii="Arial" w:hAnsi="Arial" w:cs="Arial"/>
          <w:b/>
          <w:i/>
          <w:sz w:val="20"/>
          <w:szCs w:val="20"/>
        </w:rPr>
        <w:tab/>
      </w:r>
    </w:p>
    <w:p w:rsidR="00B71FF1" w:rsidRPr="0072496D" w:rsidRDefault="0005127A" w:rsidP="00AA2399">
      <w:pPr>
        <w:spacing w:before="120" w:after="120" w:line="360" w:lineRule="auto"/>
        <w:ind w:left="714"/>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Các khoản chi phí được hạch toán </w:t>
      </w:r>
      <w:proofErr w:type="gramStart"/>
      <w:r w:rsidRPr="0005127A">
        <w:rPr>
          <w:rFonts w:ascii="Arial" w:eastAsia="Times New Roman" w:hAnsi="Arial" w:cs="Arial"/>
          <w:bCs/>
          <w:sz w:val="20"/>
          <w:szCs w:val="20"/>
          <w:lang w:eastAsia="en-GB"/>
        </w:rPr>
        <w:t>theo</w:t>
      </w:r>
      <w:proofErr w:type="gramEnd"/>
      <w:r w:rsidRPr="0005127A">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05127A">
        <w:rPr>
          <w:rFonts w:ascii="Arial" w:eastAsia="Times New Roman" w:hAnsi="Arial" w:cs="Arial"/>
          <w:bCs/>
          <w:sz w:val="20"/>
          <w:szCs w:val="20"/>
          <w:lang w:eastAsia="en-GB"/>
        </w:rPr>
        <w:t>thu</w:t>
      </w:r>
      <w:proofErr w:type="gramEnd"/>
      <w:r w:rsidRPr="0005127A">
        <w:rPr>
          <w:rFonts w:ascii="Arial" w:eastAsia="Times New Roman" w:hAnsi="Arial" w:cs="Arial"/>
          <w:bCs/>
          <w:sz w:val="20"/>
          <w:szCs w:val="20"/>
          <w:lang w:eastAsia="en-GB"/>
        </w:rPr>
        <w:t xml:space="preserve"> từ việc </w:t>
      </w:r>
      <w:r w:rsidRPr="0005127A">
        <w:rPr>
          <w:rFonts w:ascii="Arial" w:eastAsia="Times New Roman" w:hAnsi="Arial" w:cs="Arial"/>
          <w:bCs/>
          <w:sz w:val="20"/>
          <w:szCs w:val="20"/>
          <w:lang w:eastAsia="en-GB"/>
        </w:rPr>
        <w:lastRenderedPageBreak/>
        <w:t xml:space="preserve">bán các khoản đầu tư. Các khoản chi phí của Quỹ được quy định cụ thể tại Điều lệ Quỹ bao gồm: </w:t>
      </w:r>
      <w:r w:rsidRPr="0005127A">
        <w:rPr>
          <w:rFonts w:ascii="Arial" w:eastAsia="Times New Roman" w:hAnsi="Arial" w:cs="Arial"/>
          <w:bCs/>
          <w:sz w:val="20"/>
          <w:szCs w:val="20"/>
          <w:lang w:eastAsia="en-GB"/>
        </w:rPr>
        <w:tab/>
      </w:r>
    </w:p>
    <w:p w:rsidR="00B71FF1" w:rsidRPr="0072496D" w:rsidRDefault="0005127A"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Phí quản lý Quỹ  trả cho công ty quản lý Quỹ;</w:t>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p>
    <w:p w:rsidR="00B71FF1" w:rsidRPr="0072496D" w:rsidRDefault="0005127A"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Phí trả cho các dịch vụ giám sát. bảo quản tài sản Quỹ do ngân hàng giám sát thực hiện;</w:t>
      </w:r>
    </w:p>
    <w:p w:rsidR="00B71FF1" w:rsidRPr="0072496D" w:rsidRDefault="0005127A"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Phí và lệ phí mà Quỹ phải thanh toán theo quy định của Pháp luật;</w:t>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p>
    <w:p w:rsidR="00B71FF1" w:rsidRPr="0072496D" w:rsidRDefault="0005127A"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Chi phí liên quan đến việc kiểm toán Quỹ;</w:t>
      </w:r>
      <w:r w:rsidRPr="0005127A">
        <w:rPr>
          <w:rFonts w:ascii="Arial" w:eastAsia="Times New Roman" w:hAnsi="Arial" w:cs="Arial"/>
          <w:bCs/>
          <w:sz w:val="20"/>
          <w:szCs w:val="20"/>
          <w:lang w:eastAsia="en-GB"/>
        </w:rPr>
        <w:tab/>
      </w:r>
    </w:p>
    <w:p w:rsidR="00B71FF1" w:rsidRPr="0072496D" w:rsidRDefault="0005127A"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Chi phí liên quan đến việc thuê các tổ chức độc lập c</w:t>
      </w:r>
      <w:r w:rsidR="006B2D21" w:rsidRPr="0072496D">
        <w:rPr>
          <w:rFonts w:ascii="Arial" w:eastAsia="Times New Roman" w:hAnsi="Arial" w:cs="Arial"/>
          <w:bCs/>
          <w:sz w:val="20"/>
          <w:szCs w:val="20"/>
          <w:lang w:eastAsia="en-GB"/>
        </w:rPr>
        <w:t>ung cấp dịch vụ tư vấn định giá,</w:t>
      </w:r>
      <w:r w:rsidRPr="0005127A">
        <w:rPr>
          <w:rFonts w:ascii="Arial" w:eastAsia="Times New Roman" w:hAnsi="Arial" w:cs="Arial"/>
          <w:bCs/>
          <w:sz w:val="20"/>
          <w:szCs w:val="20"/>
          <w:lang w:eastAsia="en-GB"/>
        </w:rPr>
        <w:t xml:space="preserve"> đánh giá tài sản quỹ và tư vấn luật nhằm bảo vệ quyền lợi người đầu tư;</w:t>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p>
    <w:p w:rsidR="00B71FF1" w:rsidRPr="0072496D" w:rsidRDefault="0005127A"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p>
    <w:p w:rsidR="00B71FF1" w:rsidRPr="0072496D" w:rsidRDefault="0005127A"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Các chi phí khác </w:t>
      </w:r>
      <w:proofErr w:type="gramStart"/>
      <w:r w:rsidRPr="0005127A">
        <w:rPr>
          <w:rFonts w:ascii="Arial" w:eastAsia="Times New Roman" w:hAnsi="Arial" w:cs="Arial"/>
          <w:bCs/>
          <w:sz w:val="20"/>
          <w:szCs w:val="20"/>
          <w:lang w:eastAsia="en-GB"/>
        </w:rPr>
        <w:t>theo</w:t>
      </w:r>
      <w:proofErr w:type="gramEnd"/>
      <w:r w:rsidRPr="0005127A">
        <w:rPr>
          <w:rFonts w:ascii="Arial" w:eastAsia="Times New Roman" w:hAnsi="Arial" w:cs="Arial"/>
          <w:bCs/>
          <w:sz w:val="20"/>
          <w:szCs w:val="20"/>
          <w:lang w:eastAsia="en-GB"/>
        </w:rPr>
        <w:t xml:space="preserve"> quy định của Điều lệ Quỹ.</w:t>
      </w:r>
      <w:r w:rsidRPr="0005127A">
        <w:rPr>
          <w:rFonts w:ascii="Arial" w:eastAsia="Times New Roman" w:hAnsi="Arial" w:cs="Arial"/>
          <w:bCs/>
          <w:sz w:val="20"/>
          <w:szCs w:val="20"/>
          <w:lang w:eastAsia="en-GB"/>
        </w:rPr>
        <w:tab/>
      </w:r>
      <w:r w:rsidRPr="0005127A">
        <w:rPr>
          <w:rFonts w:ascii="Arial" w:eastAsia="Times New Roman" w:hAnsi="Arial" w:cs="Arial"/>
          <w:bCs/>
          <w:sz w:val="20"/>
          <w:szCs w:val="20"/>
          <w:lang w:eastAsia="en-GB"/>
        </w:rPr>
        <w:tab/>
      </w:r>
    </w:p>
    <w:p w:rsidR="00B71FF1" w:rsidRPr="0072496D" w:rsidRDefault="0005127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Phân phối thu nhập của Quỹ</w:t>
      </w:r>
    </w:p>
    <w:p w:rsidR="00427533" w:rsidRPr="0072496D" w:rsidRDefault="0005127A"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72496D" w:rsidRDefault="0005127A"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Hình thức phân chia lợi nhuận bằng tiền hoặc đơn vị Quỹ. </w:t>
      </w:r>
      <w:proofErr w:type="gramStart"/>
      <w:r w:rsidRPr="0005127A">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72496D" w:rsidRDefault="0005127A"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Thuế</w:t>
      </w:r>
      <w:r w:rsidRPr="0005127A">
        <w:rPr>
          <w:rFonts w:ascii="Arial" w:hAnsi="Arial" w:cs="Arial"/>
          <w:b/>
          <w:i/>
          <w:sz w:val="20"/>
          <w:szCs w:val="20"/>
        </w:rPr>
        <w:tab/>
      </w:r>
      <w:r w:rsidRPr="0005127A">
        <w:rPr>
          <w:rFonts w:ascii="Arial" w:hAnsi="Arial" w:cs="Arial"/>
          <w:b/>
          <w:i/>
          <w:sz w:val="20"/>
          <w:szCs w:val="20"/>
        </w:rPr>
        <w:tab/>
      </w:r>
      <w:r w:rsidRPr="0005127A">
        <w:rPr>
          <w:rFonts w:ascii="Arial" w:hAnsi="Arial" w:cs="Arial"/>
          <w:b/>
          <w:i/>
          <w:sz w:val="20"/>
          <w:szCs w:val="20"/>
        </w:rPr>
        <w:tab/>
      </w:r>
      <w:r w:rsidRPr="0005127A">
        <w:rPr>
          <w:rFonts w:ascii="Arial" w:hAnsi="Arial" w:cs="Arial"/>
          <w:b/>
          <w:i/>
          <w:sz w:val="20"/>
          <w:szCs w:val="20"/>
        </w:rPr>
        <w:tab/>
      </w:r>
      <w:r w:rsidRPr="0005127A">
        <w:rPr>
          <w:rFonts w:ascii="Arial" w:hAnsi="Arial" w:cs="Arial"/>
          <w:b/>
          <w:i/>
          <w:sz w:val="20"/>
          <w:szCs w:val="20"/>
        </w:rPr>
        <w:tab/>
      </w:r>
      <w:r w:rsidRPr="0005127A">
        <w:rPr>
          <w:rFonts w:ascii="Arial" w:hAnsi="Arial" w:cs="Arial"/>
          <w:b/>
          <w:i/>
          <w:sz w:val="20"/>
          <w:szCs w:val="20"/>
        </w:rPr>
        <w:tab/>
      </w:r>
      <w:r w:rsidRPr="0005127A">
        <w:rPr>
          <w:rFonts w:ascii="Arial" w:hAnsi="Arial" w:cs="Arial"/>
          <w:b/>
          <w:i/>
          <w:sz w:val="20"/>
          <w:szCs w:val="20"/>
        </w:rPr>
        <w:tab/>
      </w:r>
    </w:p>
    <w:p w:rsidR="00346CC4" w:rsidRPr="0072496D" w:rsidRDefault="0005127A" w:rsidP="00346CC4">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05127A">
        <w:rPr>
          <w:rFonts w:ascii="Arial" w:eastAsia="Times New Roman" w:hAnsi="Arial" w:cs="Arial"/>
          <w:bCs/>
          <w:sz w:val="20"/>
          <w:szCs w:val="20"/>
          <w:lang w:eastAsia="en-GB"/>
        </w:rPr>
        <w:t>thu</w:t>
      </w:r>
      <w:proofErr w:type="gramEnd"/>
      <w:r w:rsidRPr="0005127A">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4723EE" w:rsidRDefault="0005127A"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05127A">
        <w:rPr>
          <w:rFonts w:ascii="Arial" w:eastAsia="Times New Roman" w:hAnsi="Arial" w:cs="Arial"/>
          <w:b/>
          <w:bCs/>
          <w:i/>
          <w:sz w:val="20"/>
          <w:szCs w:val="20"/>
          <w:lang w:eastAsia="en-GB"/>
        </w:rPr>
        <w:t>Giao dịch trả cổ tức cho Nhà Đầu tư</w:t>
      </w:r>
    </w:p>
    <w:p w:rsidR="00346CC4" w:rsidRPr="0072496D" w:rsidRDefault="0005127A" w:rsidP="00346CC4">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72496D">
        <w:rPr>
          <w:rFonts w:ascii="Arial" w:eastAsia="Times New Roman" w:hAnsi="Arial" w:cs="Arial"/>
          <w:bCs/>
          <w:sz w:val="20"/>
          <w:szCs w:val="20"/>
          <w:lang w:eastAsia="en-GB"/>
        </w:rPr>
        <w:t>20%</w:t>
      </w:r>
      <w:r w:rsidRPr="0005127A">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05127A">
        <w:rPr>
          <w:rFonts w:ascii="Arial" w:eastAsia="Times New Roman" w:hAnsi="Arial" w:cs="Arial"/>
          <w:bCs/>
          <w:sz w:val="20"/>
          <w:szCs w:val="20"/>
          <w:lang w:eastAsia="en-GB"/>
        </w:rPr>
        <w:t>thu</w:t>
      </w:r>
      <w:proofErr w:type="gramEnd"/>
      <w:r w:rsidRPr="0005127A">
        <w:rPr>
          <w:rFonts w:ascii="Arial" w:eastAsia="Times New Roman" w:hAnsi="Arial" w:cs="Arial"/>
          <w:bCs/>
          <w:sz w:val="20"/>
          <w:szCs w:val="20"/>
          <w:lang w:eastAsia="en-GB"/>
        </w:rPr>
        <w:t xml:space="preserve"> nhập cá nhân bằng 5% lợi nhuận được phân phối.</w:t>
      </w:r>
    </w:p>
    <w:p w:rsidR="00346CC4" w:rsidRPr="004723EE" w:rsidRDefault="0005127A"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05127A">
        <w:rPr>
          <w:rFonts w:ascii="Arial" w:eastAsia="Times New Roman" w:hAnsi="Arial" w:cs="Arial"/>
          <w:b/>
          <w:bCs/>
          <w:i/>
          <w:sz w:val="20"/>
          <w:szCs w:val="20"/>
          <w:lang w:eastAsia="en-GB"/>
        </w:rPr>
        <w:lastRenderedPageBreak/>
        <w:t>Giao dịch mua lại chứng chỉ Quỹ</w:t>
      </w:r>
    </w:p>
    <w:p w:rsidR="00B71FF1" w:rsidRPr="0072496D" w:rsidRDefault="0005127A" w:rsidP="00346CC4">
      <w:pPr>
        <w:spacing w:before="120" w:after="120" w:line="360" w:lineRule="auto"/>
        <w:ind w:left="720"/>
        <w:jc w:val="both"/>
        <w:rPr>
          <w:rFonts w:ascii="Arial" w:hAnsi="Arial" w:cs="Arial"/>
          <w:sz w:val="20"/>
          <w:szCs w:val="20"/>
        </w:rPr>
      </w:pPr>
      <w:r w:rsidRPr="0005127A">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 và Thông tư 103/2014/TT-BTC ngày6 tháng 8 năm 2014 do Bộ Tài chính ban hành. Mức thuế áp dụng là 0</w:t>
      </w:r>
      <w:proofErr w:type="gramStart"/>
      <w:r w:rsidRPr="0005127A">
        <w:rPr>
          <w:rFonts w:ascii="Arial" w:eastAsia="Times New Roman" w:hAnsi="Arial" w:cs="Arial"/>
          <w:bCs/>
          <w:sz w:val="20"/>
          <w:szCs w:val="20"/>
          <w:lang w:eastAsia="en-GB"/>
        </w:rPr>
        <w:t>,1</w:t>
      </w:r>
      <w:proofErr w:type="gramEnd"/>
      <w:r w:rsidRPr="0005127A">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72496D" w:rsidRDefault="0005127A"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05127A">
        <w:rPr>
          <w:rFonts w:ascii="Arial" w:hAnsi="Arial" w:cs="Arial"/>
          <w:b/>
          <w:i/>
          <w:sz w:val="20"/>
          <w:szCs w:val="20"/>
        </w:rPr>
        <w:t>Giá trị tài sản ròng trên một đơn vị quỹ</w:t>
      </w:r>
    </w:p>
    <w:p w:rsidR="005C35B6" w:rsidRPr="0072496D" w:rsidRDefault="0005127A" w:rsidP="004723EE">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72496D" w:rsidRDefault="0005127A"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05127A">
        <w:rPr>
          <w:rFonts w:ascii="Arial" w:hAnsi="Arial" w:cs="Arial"/>
          <w:b/>
          <w:sz w:val="20"/>
          <w:szCs w:val="20"/>
        </w:rPr>
        <w:t>Thông tin bổ sung cho các báo cáo tài chính</w:t>
      </w:r>
    </w:p>
    <w:p w:rsidR="0005127A" w:rsidRDefault="0005127A" w:rsidP="00CB3BFE">
      <w:pPr>
        <w:pStyle w:val="ListParagraph"/>
        <w:numPr>
          <w:ilvl w:val="1"/>
          <w:numId w:val="9"/>
        </w:numPr>
        <w:spacing w:beforeLines="60" w:afterLines="60" w:line="240" w:lineRule="auto"/>
        <w:ind w:left="720" w:hanging="720"/>
        <w:contextualSpacing w:val="0"/>
        <w:jc w:val="both"/>
        <w:rPr>
          <w:rFonts w:ascii="Arial" w:hAnsi="Arial" w:cs="Arial"/>
          <w:b/>
          <w:i/>
          <w:sz w:val="20"/>
          <w:szCs w:val="20"/>
        </w:rPr>
      </w:pPr>
      <w:r w:rsidRPr="0005127A">
        <w:rPr>
          <w:rFonts w:ascii="Arial" w:hAnsi="Arial" w:cs="Arial"/>
          <w:b/>
          <w:i/>
          <w:sz w:val="20"/>
          <w:szCs w:val="20"/>
        </w:rPr>
        <w:t>Tiền gửi ngân hàng</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01"/>
        <w:gridCol w:w="7"/>
        <w:gridCol w:w="2219"/>
        <w:gridCol w:w="7"/>
        <w:gridCol w:w="2526"/>
      </w:tblGrid>
      <w:tr w:rsidR="00EB45FB" w:rsidRPr="001C31B5" w:rsidTr="001139AD">
        <w:trPr>
          <w:trHeight w:val="563"/>
        </w:trPr>
        <w:tc>
          <w:tcPr>
            <w:tcW w:w="4601" w:type="dxa"/>
          </w:tcPr>
          <w:p w:rsidR="008A4900" w:rsidRDefault="00EB45FB" w:rsidP="00C92FD6">
            <w:pPr>
              <w:spacing w:before="144" w:after="144" w:line="360" w:lineRule="auto"/>
              <w:ind w:left="300"/>
              <w:jc w:val="both"/>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ab/>
            </w:r>
          </w:p>
        </w:tc>
        <w:tc>
          <w:tcPr>
            <w:tcW w:w="2226" w:type="dxa"/>
            <w:gridSpan w:val="2"/>
            <w:vAlign w:val="bottom"/>
          </w:tcPr>
          <w:p w:rsidR="008A4900" w:rsidRDefault="00EB45FB">
            <w:pPr>
              <w:pBdr>
                <w:bottom w:val="single" w:sz="4" w:space="0"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Tại ngày 31/12/2017</w:t>
            </w:r>
          </w:p>
          <w:p w:rsidR="008A4900" w:rsidRDefault="00EB45FB">
            <w:pPr>
              <w:pBdr>
                <w:bottom w:val="single" w:sz="4" w:space="0"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VND</w:t>
            </w:r>
          </w:p>
        </w:tc>
        <w:tc>
          <w:tcPr>
            <w:tcW w:w="2533" w:type="dxa"/>
            <w:gridSpan w:val="2"/>
            <w:vAlign w:val="bottom"/>
          </w:tcPr>
          <w:p w:rsidR="008A4900" w:rsidRDefault="00EB45FB">
            <w:pPr>
              <w:pBdr>
                <w:bottom w:val="single" w:sz="4" w:space="0"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Tại ngày 30/09/2017</w:t>
            </w:r>
          </w:p>
          <w:p w:rsidR="008A4900" w:rsidRDefault="00EB45FB">
            <w:pPr>
              <w:pBdr>
                <w:bottom w:val="single" w:sz="4" w:space="0"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VND</w:t>
            </w:r>
          </w:p>
        </w:tc>
      </w:tr>
      <w:tr w:rsidR="00EB45FB" w:rsidRPr="001C31B5" w:rsidTr="001139AD">
        <w:trPr>
          <w:trHeight w:val="480"/>
        </w:trPr>
        <w:tc>
          <w:tcPr>
            <w:tcW w:w="4601" w:type="dxa"/>
            <w:vAlign w:val="bottom"/>
          </w:tcPr>
          <w:p w:rsidR="008A4900" w:rsidRDefault="00EB45FB">
            <w:pPr>
              <w:spacing w:line="360" w:lineRule="auto"/>
              <w:rPr>
                <w:rFonts w:ascii="Arial" w:eastAsia="Times New Roman" w:hAnsi="Arial" w:cs="Arial"/>
                <w:bCs/>
                <w:sz w:val="20"/>
                <w:szCs w:val="20"/>
                <w:lang w:val="vi-VN" w:eastAsia="en-GB"/>
              </w:rPr>
            </w:pPr>
            <w:r w:rsidRPr="001C31B5">
              <w:rPr>
                <w:rFonts w:ascii="Arial" w:eastAsia="Times New Roman" w:hAnsi="Arial" w:cs="Arial"/>
                <w:bCs/>
                <w:sz w:val="20"/>
                <w:szCs w:val="20"/>
                <w:lang w:eastAsia="en-GB"/>
              </w:rPr>
              <w:t xml:space="preserve">Tiền gửi ngân hàng cho hoạt động Quỹ mở tại ngân hàng </w:t>
            </w:r>
            <w:r w:rsidRPr="001C31B5">
              <w:rPr>
                <w:rFonts w:ascii="Arial" w:eastAsia="Times New Roman" w:hAnsi="Arial" w:cs="Arial"/>
                <w:bCs/>
                <w:sz w:val="20"/>
                <w:szCs w:val="20"/>
                <w:lang w:val="vi-VN" w:eastAsia="en-GB"/>
              </w:rPr>
              <w:t>giám sát</w:t>
            </w:r>
          </w:p>
        </w:tc>
        <w:tc>
          <w:tcPr>
            <w:tcW w:w="2226" w:type="dxa"/>
            <w:gridSpan w:val="2"/>
            <w:vAlign w:val="center"/>
          </w:tcPr>
          <w:p w:rsidR="008A4900" w:rsidRDefault="00EB45FB">
            <w:pPr>
              <w:spacing w:line="360" w:lineRule="auto"/>
              <w:jc w:val="right"/>
              <w:rPr>
                <w:rFonts w:ascii="Arial" w:eastAsia="Times New Roman" w:hAnsi="Arial" w:cs="Arial"/>
                <w:bCs/>
                <w:sz w:val="20"/>
                <w:szCs w:val="20"/>
                <w:lang w:eastAsia="en-GB"/>
              </w:rPr>
            </w:pPr>
            <w:r w:rsidRPr="001C31B5">
              <w:rPr>
                <w:rFonts w:ascii="Arial" w:eastAsia="Times New Roman" w:hAnsi="Arial" w:cs="Arial"/>
                <w:bCs/>
                <w:sz w:val="20"/>
                <w:szCs w:val="20"/>
                <w:lang w:eastAsia="en-GB"/>
              </w:rPr>
              <w:t xml:space="preserve">                          </w:t>
            </w:r>
          </w:p>
          <w:p w:rsidR="008A4900" w:rsidRDefault="00EB45FB">
            <w:pPr>
              <w:spacing w:line="360" w:lineRule="auto"/>
              <w:jc w:val="right"/>
              <w:rPr>
                <w:rFonts w:ascii="Arial" w:eastAsia="Times New Roman" w:hAnsi="Arial" w:cs="Arial"/>
                <w:bCs/>
                <w:sz w:val="20"/>
                <w:szCs w:val="20"/>
                <w:lang w:eastAsia="en-GB"/>
              </w:rPr>
            </w:pPr>
            <w:r w:rsidRPr="001C31B5">
              <w:rPr>
                <w:rFonts w:ascii="Arial" w:eastAsia="Times New Roman" w:hAnsi="Arial" w:cs="Arial"/>
                <w:bCs/>
                <w:sz w:val="20"/>
                <w:szCs w:val="20"/>
                <w:lang w:eastAsia="en-GB"/>
              </w:rPr>
              <w:t>13.873.061.475</w:t>
            </w:r>
          </w:p>
        </w:tc>
        <w:tc>
          <w:tcPr>
            <w:tcW w:w="2533" w:type="dxa"/>
            <w:gridSpan w:val="2"/>
            <w:vAlign w:val="center"/>
          </w:tcPr>
          <w:p w:rsidR="008A4900" w:rsidRDefault="008A4900">
            <w:pPr>
              <w:spacing w:line="360" w:lineRule="auto"/>
              <w:jc w:val="right"/>
              <w:rPr>
                <w:rFonts w:ascii="Arial" w:eastAsia="Times New Roman" w:hAnsi="Arial" w:cs="Arial"/>
                <w:bCs/>
                <w:sz w:val="20"/>
                <w:szCs w:val="20"/>
                <w:lang w:val="vi-VN" w:eastAsia="en-GB"/>
              </w:rPr>
            </w:pPr>
          </w:p>
          <w:p w:rsidR="008A4900" w:rsidRDefault="00EB45FB">
            <w:pPr>
              <w:spacing w:line="360" w:lineRule="auto"/>
              <w:jc w:val="right"/>
              <w:rPr>
                <w:rFonts w:ascii="Arial" w:eastAsia="Times New Roman" w:hAnsi="Arial" w:cs="Arial"/>
                <w:bCs/>
                <w:sz w:val="20"/>
                <w:szCs w:val="20"/>
                <w:lang w:eastAsia="en-GB"/>
              </w:rPr>
            </w:pPr>
            <w:r w:rsidRPr="001C31B5">
              <w:rPr>
                <w:rFonts w:ascii="Arial" w:eastAsia="Times New Roman" w:hAnsi="Arial" w:cs="Arial"/>
                <w:bCs/>
                <w:sz w:val="20"/>
                <w:szCs w:val="20"/>
                <w:lang w:eastAsia="en-GB"/>
              </w:rPr>
              <w:t>3.326.691.159</w:t>
            </w:r>
          </w:p>
        </w:tc>
      </w:tr>
      <w:tr w:rsidR="00EB45FB" w:rsidRPr="001C31B5" w:rsidTr="001139AD">
        <w:trPr>
          <w:trHeight w:val="480"/>
        </w:trPr>
        <w:tc>
          <w:tcPr>
            <w:tcW w:w="4601" w:type="dxa"/>
            <w:vAlign w:val="bottom"/>
          </w:tcPr>
          <w:p w:rsidR="008A4900" w:rsidRDefault="00EB45FB">
            <w:pPr>
              <w:spacing w:line="360" w:lineRule="auto"/>
              <w:rPr>
                <w:rFonts w:ascii="Arial" w:eastAsia="Times New Roman" w:hAnsi="Arial" w:cs="Arial"/>
                <w:bCs/>
                <w:sz w:val="20"/>
                <w:szCs w:val="20"/>
                <w:lang w:eastAsia="en-GB"/>
              </w:rPr>
            </w:pPr>
            <w:r w:rsidRPr="001C31B5">
              <w:rPr>
                <w:rFonts w:ascii="Arial" w:eastAsia="Times New Roman" w:hAnsi="Arial" w:cs="Arial"/>
                <w:bCs/>
                <w:sz w:val="20"/>
                <w:szCs w:val="20"/>
                <w:lang w:eastAsia="en-GB"/>
              </w:rPr>
              <w:t>Tiền gửi cho hoạt động mua bán Chứng chỉ Quỹ</w:t>
            </w:r>
          </w:p>
        </w:tc>
        <w:tc>
          <w:tcPr>
            <w:tcW w:w="2226" w:type="dxa"/>
            <w:gridSpan w:val="2"/>
            <w:vAlign w:val="center"/>
          </w:tcPr>
          <w:p w:rsidR="008A4900" w:rsidRDefault="00EB45FB">
            <w:pPr>
              <w:pBdr>
                <w:bottom w:val="single" w:sz="4" w:space="1" w:color="auto"/>
              </w:pBdr>
              <w:spacing w:line="360" w:lineRule="auto"/>
              <w:jc w:val="right"/>
              <w:rPr>
                <w:rFonts w:ascii="Arial" w:eastAsia="Times New Roman" w:hAnsi="Arial" w:cs="Arial"/>
                <w:bCs/>
                <w:sz w:val="20"/>
                <w:szCs w:val="20"/>
                <w:lang w:eastAsia="en-GB"/>
              </w:rPr>
            </w:pPr>
            <w:r w:rsidRPr="001C31B5">
              <w:rPr>
                <w:rFonts w:ascii="Arial" w:eastAsia="Times New Roman" w:hAnsi="Arial" w:cs="Arial"/>
                <w:bCs/>
                <w:sz w:val="20"/>
                <w:szCs w:val="20"/>
                <w:lang w:eastAsia="en-GB"/>
              </w:rPr>
              <w:t>13.497.183.675</w:t>
            </w:r>
          </w:p>
        </w:tc>
        <w:tc>
          <w:tcPr>
            <w:tcW w:w="2533" w:type="dxa"/>
            <w:gridSpan w:val="2"/>
            <w:vAlign w:val="center"/>
          </w:tcPr>
          <w:p w:rsidR="008A4900" w:rsidRDefault="00EB45FB">
            <w:pPr>
              <w:pBdr>
                <w:bottom w:val="single" w:sz="4" w:space="1" w:color="auto"/>
              </w:pBdr>
              <w:spacing w:line="360" w:lineRule="auto"/>
              <w:jc w:val="right"/>
              <w:rPr>
                <w:rFonts w:ascii="Arial" w:eastAsia="Times New Roman" w:hAnsi="Arial" w:cs="Arial"/>
                <w:bCs/>
                <w:sz w:val="20"/>
                <w:szCs w:val="20"/>
                <w:lang w:val="vi-VN" w:eastAsia="en-GB"/>
              </w:rPr>
            </w:pPr>
            <w:r w:rsidRPr="001C31B5">
              <w:rPr>
                <w:rFonts w:ascii="Arial" w:eastAsia="Times New Roman" w:hAnsi="Arial" w:cs="Arial"/>
                <w:bCs/>
                <w:sz w:val="20"/>
                <w:szCs w:val="20"/>
                <w:lang w:val="vi-VN" w:eastAsia="en-GB"/>
              </w:rPr>
              <w:t>-</w:t>
            </w:r>
          </w:p>
        </w:tc>
      </w:tr>
      <w:tr w:rsidR="00EB45FB" w:rsidRPr="001C31B5" w:rsidTr="001139AD">
        <w:trPr>
          <w:trHeight w:val="20"/>
        </w:trPr>
        <w:tc>
          <w:tcPr>
            <w:tcW w:w="4608" w:type="dxa"/>
            <w:gridSpan w:val="2"/>
            <w:vAlign w:val="bottom"/>
          </w:tcPr>
          <w:p w:rsidR="008A4900" w:rsidRDefault="008A4900" w:rsidP="00C92FD6">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8A4900" w:rsidRDefault="00EB45FB">
            <w:pPr>
              <w:pBdr>
                <w:bottom w:val="single" w:sz="4" w:space="1"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27.370.245.150</w:t>
            </w:r>
          </w:p>
        </w:tc>
        <w:tc>
          <w:tcPr>
            <w:tcW w:w="2526" w:type="dxa"/>
            <w:vAlign w:val="bottom"/>
          </w:tcPr>
          <w:p w:rsidR="008A4900" w:rsidRDefault="00EB45FB">
            <w:pPr>
              <w:pBdr>
                <w:bottom w:val="single" w:sz="4" w:space="1"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3.326.691.159</w:t>
            </w:r>
          </w:p>
        </w:tc>
      </w:tr>
    </w:tbl>
    <w:p w:rsidR="0005127A" w:rsidRDefault="0005127A" w:rsidP="00CB3BFE">
      <w:pPr>
        <w:tabs>
          <w:tab w:val="left" w:pos="1170"/>
        </w:tabs>
        <w:spacing w:beforeLines="60" w:afterLines="60" w:line="360" w:lineRule="auto"/>
        <w:jc w:val="both"/>
        <w:rPr>
          <w:rFonts w:ascii="Arial" w:eastAsia="Times New Roman" w:hAnsi="Arial" w:cs="Arial"/>
          <w:b/>
          <w:bCs/>
          <w:i/>
          <w:sz w:val="20"/>
          <w:szCs w:val="20"/>
        </w:rPr>
      </w:pPr>
    </w:p>
    <w:p w:rsidR="0005127A" w:rsidRDefault="0005127A" w:rsidP="00C92FD6">
      <w:pPr>
        <w:spacing w:before="144" w:after="144" w:line="240" w:lineRule="auto"/>
        <w:rPr>
          <w:rFonts w:ascii="Arial" w:eastAsia="Times New Roman" w:hAnsi="Arial" w:cs="Arial"/>
          <w:b/>
          <w:bCs/>
          <w:i/>
          <w:sz w:val="20"/>
          <w:szCs w:val="20"/>
        </w:rPr>
      </w:pPr>
      <w:r w:rsidRPr="0005127A">
        <w:rPr>
          <w:rFonts w:ascii="Arial" w:eastAsia="Times New Roman" w:hAnsi="Arial" w:cs="Arial"/>
          <w:b/>
          <w:bCs/>
          <w:i/>
          <w:sz w:val="20"/>
          <w:szCs w:val="20"/>
        </w:rPr>
        <w:t xml:space="preserve">5.2       Các khoản đầu tư </w:t>
      </w:r>
    </w:p>
    <w:p w:rsidR="0005127A" w:rsidRDefault="0005127A" w:rsidP="00CB3BFE">
      <w:pPr>
        <w:spacing w:beforeLines="60" w:afterLines="60" w:line="360" w:lineRule="auto"/>
        <w:jc w:val="both"/>
        <w:rPr>
          <w:rFonts w:ascii="Arial" w:eastAsia="Times New Roman" w:hAnsi="Arial" w:cs="Arial"/>
          <w:bCs/>
          <w:sz w:val="20"/>
          <w:szCs w:val="20"/>
          <w:lang w:eastAsia="en-GB"/>
        </w:rPr>
      </w:pPr>
      <w:r w:rsidRPr="0005127A">
        <w:rPr>
          <w:rFonts w:ascii="Arial" w:eastAsia="Times New Roman" w:hAnsi="Arial" w:cs="Arial"/>
          <w:bCs/>
          <w:i/>
          <w:sz w:val="20"/>
          <w:szCs w:val="20"/>
          <w:lang w:eastAsia="en-GB"/>
        </w:rPr>
        <w:tab/>
      </w:r>
      <w:r w:rsidRPr="0005127A">
        <w:rPr>
          <w:rFonts w:ascii="Arial" w:eastAsia="Times New Roman" w:hAnsi="Arial" w:cs="Arial"/>
          <w:bCs/>
          <w:sz w:val="20"/>
          <w:szCs w:val="20"/>
          <w:lang w:eastAsia="en-GB"/>
        </w:rPr>
        <w:t>Chi tiết các khoản đầu tư của Quỹ tại ngày 31 tháng 12 năm 2017 như sau:</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860"/>
        <w:gridCol w:w="2124"/>
        <w:gridCol w:w="2027"/>
        <w:gridCol w:w="2147"/>
      </w:tblGrid>
      <w:tr w:rsidR="00A20F27" w:rsidRPr="0072496D" w:rsidTr="001139AD">
        <w:trPr>
          <w:trHeight w:val="701"/>
        </w:trPr>
        <w:tc>
          <w:tcPr>
            <w:tcW w:w="1202" w:type="dxa"/>
          </w:tcPr>
          <w:p w:rsidR="0005127A" w:rsidRDefault="0005127A" w:rsidP="00CB3BFE">
            <w:pPr>
              <w:spacing w:beforeLines="60" w:afterLines="60" w:line="360" w:lineRule="auto"/>
              <w:jc w:val="both"/>
              <w:rPr>
                <w:rFonts w:ascii="Arial" w:eastAsia="Times New Roman" w:hAnsi="Arial" w:cs="Arial"/>
                <w:bCs/>
                <w:sz w:val="20"/>
                <w:szCs w:val="20"/>
                <w:lang w:eastAsia="en-GB"/>
              </w:rPr>
            </w:pPr>
          </w:p>
        </w:tc>
        <w:tc>
          <w:tcPr>
            <w:tcW w:w="1860" w:type="dxa"/>
          </w:tcPr>
          <w:p w:rsidR="00B71FF1" w:rsidRPr="0072496D" w:rsidRDefault="00B71FF1" w:rsidP="00C977BE">
            <w:pPr>
              <w:spacing w:after="200" w:line="240" w:lineRule="auto"/>
              <w:jc w:val="center"/>
              <w:rPr>
                <w:rFonts w:ascii="Arial" w:eastAsia="Times New Roman" w:hAnsi="Arial" w:cs="Arial"/>
                <w:b/>
                <w:bCs/>
                <w:sz w:val="20"/>
                <w:szCs w:val="20"/>
                <w:lang w:eastAsia="en-GB"/>
              </w:rPr>
            </w:pPr>
          </w:p>
        </w:tc>
        <w:tc>
          <w:tcPr>
            <w:tcW w:w="4151" w:type="dxa"/>
            <w:gridSpan w:val="2"/>
            <w:vAlign w:val="bottom"/>
          </w:tcPr>
          <w:p w:rsidR="00B71FF1" w:rsidRPr="0072496D" w:rsidRDefault="0005127A" w:rsidP="00C977BE">
            <w:pPr>
              <w:pBdr>
                <w:bottom w:val="single" w:sz="4" w:space="1" w:color="auto"/>
              </w:pBdr>
              <w:spacing w:after="20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Chênh lệch đánh giá lại</w:t>
            </w:r>
          </w:p>
        </w:tc>
        <w:tc>
          <w:tcPr>
            <w:tcW w:w="2147" w:type="dxa"/>
            <w:vMerge w:val="restart"/>
            <w:vAlign w:val="bottom"/>
          </w:tcPr>
          <w:p w:rsidR="00B71FF1" w:rsidRPr="0072496D" w:rsidRDefault="0005127A" w:rsidP="00D464B7">
            <w:pPr>
              <w:pBdr>
                <w:bottom w:val="single" w:sz="4" w:space="1" w:color="auto"/>
              </w:pBdr>
              <w:spacing w:after="200" w:line="24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Giá trị đánh giá lại theo giá trị thị trường</w:t>
            </w:r>
          </w:p>
          <w:p w:rsidR="00B71FF1" w:rsidRPr="0072496D" w:rsidRDefault="0005127A" w:rsidP="00D464B7">
            <w:pPr>
              <w:pBdr>
                <w:bottom w:val="single" w:sz="4" w:space="1" w:color="auto"/>
              </w:pBdr>
              <w:spacing w:after="200" w:line="24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VND</w:t>
            </w:r>
          </w:p>
        </w:tc>
      </w:tr>
      <w:tr w:rsidR="00A20F27" w:rsidRPr="0072496D" w:rsidTr="001139AD">
        <w:trPr>
          <w:trHeight w:val="701"/>
        </w:trPr>
        <w:tc>
          <w:tcPr>
            <w:tcW w:w="1202" w:type="dxa"/>
          </w:tcPr>
          <w:p w:rsidR="0005127A" w:rsidRDefault="0005127A" w:rsidP="00CB3BFE">
            <w:pPr>
              <w:spacing w:beforeLines="60" w:afterLines="60" w:line="360" w:lineRule="auto"/>
              <w:jc w:val="both"/>
              <w:rPr>
                <w:rFonts w:ascii="Arial" w:eastAsia="Times New Roman" w:hAnsi="Arial" w:cs="Arial"/>
                <w:bCs/>
                <w:sz w:val="20"/>
                <w:szCs w:val="20"/>
                <w:lang w:eastAsia="en-GB"/>
              </w:rPr>
            </w:pPr>
          </w:p>
        </w:tc>
        <w:tc>
          <w:tcPr>
            <w:tcW w:w="1860" w:type="dxa"/>
            <w:vAlign w:val="bottom"/>
          </w:tcPr>
          <w:p w:rsidR="00B71FF1" w:rsidRPr="0072496D" w:rsidRDefault="0005127A" w:rsidP="00D464B7">
            <w:pPr>
              <w:pBdr>
                <w:bottom w:val="single" w:sz="4" w:space="1" w:color="auto"/>
              </w:pBdr>
              <w:spacing w:after="200" w:line="24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Giá mua</w:t>
            </w:r>
          </w:p>
          <w:p w:rsidR="00B71FF1" w:rsidRPr="0072496D" w:rsidRDefault="0005127A" w:rsidP="00D464B7">
            <w:pPr>
              <w:pBdr>
                <w:bottom w:val="single" w:sz="4" w:space="1" w:color="auto"/>
              </w:pBdr>
              <w:spacing w:after="200" w:line="24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VND</w:t>
            </w:r>
          </w:p>
        </w:tc>
        <w:tc>
          <w:tcPr>
            <w:tcW w:w="2124" w:type="dxa"/>
            <w:vAlign w:val="bottom"/>
          </w:tcPr>
          <w:p w:rsidR="00B71FF1" w:rsidRPr="0072496D" w:rsidRDefault="0005127A" w:rsidP="00D464B7">
            <w:pPr>
              <w:pBdr>
                <w:bottom w:val="single" w:sz="4" w:space="1" w:color="auto"/>
              </w:pBdr>
              <w:spacing w:after="200" w:line="24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Chênh lệch tăng</w:t>
            </w:r>
          </w:p>
          <w:p w:rsidR="00B71FF1" w:rsidRPr="0072496D" w:rsidRDefault="0005127A" w:rsidP="00D464B7">
            <w:pPr>
              <w:pBdr>
                <w:bottom w:val="single" w:sz="4" w:space="1" w:color="auto"/>
              </w:pBdr>
              <w:spacing w:after="200" w:line="24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VND</w:t>
            </w:r>
          </w:p>
        </w:tc>
        <w:tc>
          <w:tcPr>
            <w:tcW w:w="2027" w:type="dxa"/>
            <w:vAlign w:val="bottom"/>
          </w:tcPr>
          <w:p w:rsidR="00B71FF1" w:rsidRPr="0072496D" w:rsidRDefault="0005127A" w:rsidP="00D464B7">
            <w:pPr>
              <w:pBdr>
                <w:bottom w:val="single" w:sz="4" w:space="1" w:color="auto"/>
              </w:pBdr>
              <w:spacing w:after="200" w:line="24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Chênh lệch giảm</w:t>
            </w:r>
          </w:p>
          <w:p w:rsidR="00B71FF1" w:rsidRPr="0072496D" w:rsidRDefault="0005127A" w:rsidP="00D464B7">
            <w:pPr>
              <w:pBdr>
                <w:bottom w:val="single" w:sz="4" w:space="1" w:color="auto"/>
              </w:pBdr>
              <w:spacing w:after="200" w:line="24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VND</w:t>
            </w:r>
          </w:p>
        </w:tc>
        <w:tc>
          <w:tcPr>
            <w:tcW w:w="2147" w:type="dxa"/>
            <w:vMerge/>
            <w:vAlign w:val="bottom"/>
          </w:tcPr>
          <w:p w:rsidR="00B71FF1" w:rsidRPr="0072496D"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A20F27" w:rsidRPr="0072496D" w:rsidTr="001139AD">
        <w:trPr>
          <w:trHeight w:val="563"/>
        </w:trPr>
        <w:tc>
          <w:tcPr>
            <w:tcW w:w="1202" w:type="dxa"/>
            <w:vAlign w:val="bottom"/>
          </w:tcPr>
          <w:p w:rsidR="00B71FF1" w:rsidRPr="0072496D" w:rsidRDefault="0005127A">
            <w:pPr>
              <w:spacing w:after="200" w:line="240" w:lineRule="auto"/>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Cổ phiếu</w:t>
            </w:r>
          </w:p>
        </w:tc>
        <w:tc>
          <w:tcPr>
            <w:tcW w:w="1860" w:type="dxa"/>
            <w:vAlign w:val="bottom"/>
          </w:tcPr>
          <w:p w:rsidR="00B71FF1" w:rsidRPr="0072496D" w:rsidRDefault="0005127A" w:rsidP="000C0764">
            <w:pPr>
              <w:pBdr>
                <w:bottom w:val="single" w:sz="4" w:space="1" w:color="auto"/>
              </w:pBdr>
              <w:spacing w:after="200" w:line="360" w:lineRule="auto"/>
              <w:jc w:val="right"/>
              <w:rPr>
                <w:rFonts w:ascii="Arial" w:eastAsia="Times New Roman" w:hAnsi="Arial" w:cs="Arial"/>
                <w:color w:val="000000"/>
                <w:sz w:val="20"/>
                <w:szCs w:val="20"/>
                <w:lang w:eastAsia="en-GB"/>
              </w:rPr>
            </w:pPr>
            <w:bookmarkStart w:id="1" w:name="_GoBack"/>
            <w:bookmarkEnd w:id="1"/>
            <w:r w:rsidRPr="0005127A">
              <w:rPr>
                <w:rFonts w:ascii="Arial" w:eastAsia="Times New Roman" w:hAnsi="Arial" w:cs="Arial"/>
                <w:color w:val="000000"/>
                <w:sz w:val="20"/>
                <w:szCs w:val="20"/>
                <w:lang w:eastAsia="en-GB"/>
              </w:rPr>
              <w:t xml:space="preserve">       81.930.195.836</w:t>
            </w:r>
          </w:p>
        </w:tc>
        <w:tc>
          <w:tcPr>
            <w:tcW w:w="2124" w:type="dxa"/>
            <w:vAlign w:val="bottom"/>
          </w:tcPr>
          <w:p w:rsidR="00B71FF1" w:rsidRPr="0072496D" w:rsidRDefault="0005127A"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05127A">
              <w:rPr>
                <w:rFonts w:ascii="Arial" w:eastAsia="Times New Roman" w:hAnsi="Arial" w:cs="Arial"/>
                <w:color w:val="000000"/>
                <w:sz w:val="20"/>
                <w:szCs w:val="20"/>
                <w:lang w:eastAsia="en-GB"/>
              </w:rPr>
              <w:t>13.789.569.937</w:t>
            </w:r>
          </w:p>
        </w:tc>
        <w:tc>
          <w:tcPr>
            <w:tcW w:w="2027" w:type="dxa"/>
            <w:vAlign w:val="bottom"/>
          </w:tcPr>
          <w:p w:rsidR="00B71FF1" w:rsidRPr="0072496D" w:rsidRDefault="0005127A"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05127A">
              <w:rPr>
                <w:rFonts w:ascii="Arial" w:eastAsia="Times New Roman" w:hAnsi="Arial" w:cs="Arial"/>
                <w:color w:val="000000"/>
                <w:sz w:val="20"/>
                <w:szCs w:val="20"/>
                <w:lang w:eastAsia="en-GB"/>
              </w:rPr>
              <w:t>(201.890.773)</w:t>
            </w:r>
          </w:p>
        </w:tc>
        <w:tc>
          <w:tcPr>
            <w:tcW w:w="2147" w:type="dxa"/>
            <w:vAlign w:val="bottom"/>
          </w:tcPr>
          <w:p w:rsidR="00B71FF1" w:rsidRPr="0072496D" w:rsidRDefault="0005127A"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05127A">
              <w:rPr>
                <w:rFonts w:ascii="Arial" w:eastAsia="Times New Roman" w:hAnsi="Arial" w:cs="Arial"/>
                <w:color w:val="000000"/>
                <w:sz w:val="20"/>
                <w:szCs w:val="20"/>
                <w:lang w:eastAsia="en-GB"/>
              </w:rPr>
              <w:t>95.517.875.000</w:t>
            </w:r>
          </w:p>
        </w:tc>
      </w:tr>
      <w:tr w:rsidR="00A0634F" w:rsidRPr="0072496D" w:rsidTr="001139AD">
        <w:trPr>
          <w:trHeight w:val="597"/>
        </w:trPr>
        <w:tc>
          <w:tcPr>
            <w:tcW w:w="1202" w:type="dxa"/>
          </w:tcPr>
          <w:p w:rsidR="00A0634F" w:rsidRPr="0072496D" w:rsidRDefault="00A0634F">
            <w:pPr>
              <w:spacing w:after="200" w:line="360" w:lineRule="auto"/>
              <w:jc w:val="both"/>
              <w:rPr>
                <w:rFonts w:ascii="Arial" w:eastAsia="Times New Roman" w:hAnsi="Arial" w:cs="Arial"/>
                <w:bCs/>
                <w:sz w:val="20"/>
                <w:szCs w:val="20"/>
                <w:lang w:eastAsia="en-GB"/>
              </w:rPr>
            </w:pPr>
          </w:p>
        </w:tc>
        <w:tc>
          <w:tcPr>
            <w:tcW w:w="1860" w:type="dxa"/>
            <w:vAlign w:val="bottom"/>
          </w:tcPr>
          <w:p w:rsidR="00A0634F" w:rsidRPr="0072496D" w:rsidRDefault="0005127A" w:rsidP="006E2F62">
            <w:pPr>
              <w:pBdr>
                <w:bottom w:val="double" w:sz="4" w:space="1" w:color="auto"/>
              </w:pBdr>
              <w:spacing w:after="200" w:line="36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w:t>
            </w:r>
            <w:r w:rsidRPr="0005127A">
              <w:rPr>
                <w:rFonts w:ascii="Arial" w:eastAsia="Times New Roman" w:hAnsi="Arial" w:cs="Arial"/>
                <w:b/>
                <w:color w:val="000000"/>
                <w:sz w:val="20"/>
                <w:szCs w:val="20"/>
                <w:lang w:eastAsia="en-GB"/>
              </w:rPr>
              <w:t>81.930.195.836</w:t>
            </w:r>
          </w:p>
        </w:tc>
        <w:tc>
          <w:tcPr>
            <w:tcW w:w="2124" w:type="dxa"/>
            <w:vAlign w:val="bottom"/>
          </w:tcPr>
          <w:p w:rsidR="00A0634F" w:rsidRPr="0072496D" w:rsidRDefault="0005127A" w:rsidP="004D25FA">
            <w:pPr>
              <w:pBdr>
                <w:bottom w:val="double" w:sz="4" w:space="1" w:color="auto"/>
              </w:pBdr>
              <w:spacing w:after="200" w:line="360" w:lineRule="auto"/>
              <w:jc w:val="right"/>
              <w:rPr>
                <w:rFonts w:ascii="Arial" w:eastAsia="Times New Roman" w:hAnsi="Arial" w:cs="Arial"/>
                <w:b/>
                <w:color w:val="000000"/>
                <w:sz w:val="20"/>
                <w:szCs w:val="20"/>
                <w:lang w:eastAsia="en-GB"/>
              </w:rPr>
            </w:pPr>
            <w:r w:rsidRPr="0005127A">
              <w:rPr>
                <w:rFonts w:ascii="Arial" w:eastAsia="Times New Roman" w:hAnsi="Arial" w:cs="Arial"/>
                <w:b/>
                <w:color w:val="000000"/>
                <w:sz w:val="20"/>
                <w:szCs w:val="20"/>
                <w:lang w:eastAsia="en-GB"/>
              </w:rPr>
              <w:t>13.789.569.937</w:t>
            </w:r>
          </w:p>
        </w:tc>
        <w:tc>
          <w:tcPr>
            <w:tcW w:w="2027" w:type="dxa"/>
            <w:vAlign w:val="bottom"/>
          </w:tcPr>
          <w:p w:rsidR="00A0634F" w:rsidRPr="0072496D" w:rsidRDefault="0005127A" w:rsidP="004D25FA">
            <w:pPr>
              <w:pBdr>
                <w:bottom w:val="double" w:sz="4" w:space="1" w:color="auto"/>
              </w:pBdr>
              <w:spacing w:after="200" w:line="360" w:lineRule="auto"/>
              <w:jc w:val="right"/>
              <w:rPr>
                <w:rFonts w:ascii="Arial" w:eastAsia="Times New Roman" w:hAnsi="Arial" w:cs="Arial"/>
                <w:b/>
                <w:color w:val="000000"/>
                <w:sz w:val="20"/>
                <w:szCs w:val="20"/>
                <w:lang w:eastAsia="en-GB"/>
              </w:rPr>
            </w:pPr>
            <w:r w:rsidRPr="0005127A">
              <w:rPr>
                <w:rFonts w:ascii="Arial" w:eastAsia="Times New Roman" w:hAnsi="Arial" w:cs="Arial"/>
                <w:b/>
                <w:color w:val="000000"/>
                <w:sz w:val="20"/>
                <w:szCs w:val="20"/>
                <w:lang w:eastAsia="en-GB"/>
              </w:rPr>
              <w:t>(201.890.773)</w:t>
            </w:r>
          </w:p>
        </w:tc>
        <w:tc>
          <w:tcPr>
            <w:tcW w:w="2147" w:type="dxa"/>
            <w:vAlign w:val="bottom"/>
          </w:tcPr>
          <w:p w:rsidR="000C0764" w:rsidRPr="0072496D" w:rsidRDefault="0005127A" w:rsidP="000C0764">
            <w:pPr>
              <w:spacing w:after="200"/>
              <w:jc w:val="right"/>
              <w:rPr>
                <w:rFonts w:ascii="Arial" w:eastAsia="Times New Roman" w:hAnsi="Arial" w:cs="Arial"/>
                <w:b/>
                <w:color w:val="000000"/>
                <w:sz w:val="20"/>
                <w:szCs w:val="20"/>
                <w:lang w:eastAsia="en-GB"/>
              </w:rPr>
            </w:pPr>
            <w:r w:rsidRPr="0005127A">
              <w:rPr>
                <w:rFonts w:ascii="Arial" w:eastAsia="Times New Roman" w:hAnsi="Arial" w:cs="Arial"/>
                <w:b/>
                <w:color w:val="000000"/>
                <w:sz w:val="20"/>
                <w:szCs w:val="20"/>
                <w:lang w:eastAsia="en-GB"/>
              </w:rPr>
              <w:t xml:space="preserve">           </w:t>
            </w:r>
          </w:p>
          <w:p w:rsidR="00A0634F" w:rsidRPr="0072496D" w:rsidRDefault="0005127A" w:rsidP="004D25FA">
            <w:pPr>
              <w:pBdr>
                <w:bottom w:val="double" w:sz="4" w:space="1" w:color="auto"/>
              </w:pBdr>
              <w:spacing w:after="200" w:line="360" w:lineRule="auto"/>
              <w:jc w:val="right"/>
              <w:rPr>
                <w:rFonts w:ascii="Arial" w:eastAsia="Times New Roman" w:hAnsi="Arial" w:cs="Arial"/>
                <w:b/>
                <w:color w:val="000000"/>
                <w:sz w:val="20"/>
                <w:szCs w:val="20"/>
                <w:lang w:eastAsia="en-GB"/>
              </w:rPr>
            </w:pPr>
            <w:r w:rsidRPr="0005127A">
              <w:rPr>
                <w:rFonts w:ascii="Arial" w:eastAsia="Times New Roman" w:hAnsi="Arial" w:cs="Arial"/>
                <w:b/>
                <w:color w:val="000000"/>
                <w:sz w:val="20"/>
                <w:szCs w:val="20"/>
                <w:lang w:eastAsia="en-GB"/>
              </w:rPr>
              <w:t>95.517.875.000</w:t>
            </w:r>
          </w:p>
        </w:tc>
      </w:tr>
    </w:tbl>
    <w:p w:rsidR="00CB3BFE" w:rsidRDefault="00CB3BFE" w:rsidP="00687C7B">
      <w:pPr>
        <w:spacing w:before="240" w:after="120" w:line="360" w:lineRule="auto"/>
        <w:ind w:left="720" w:hanging="720"/>
        <w:jc w:val="both"/>
        <w:rPr>
          <w:rFonts w:ascii="Arial" w:eastAsia="Times New Roman" w:hAnsi="Arial" w:cs="Arial"/>
          <w:b/>
          <w:bCs/>
          <w:i/>
          <w:sz w:val="20"/>
          <w:szCs w:val="20"/>
          <w:lang w:eastAsia="en-GB"/>
        </w:rPr>
      </w:pPr>
    </w:p>
    <w:p w:rsidR="00CB3BFE" w:rsidRDefault="00CB3BFE" w:rsidP="00687C7B">
      <w:pPr>
        <w:spacing w:before="240" w:after="120" w:line="360" w:lineRule="auto"/>
        <w:ind w:left="720" w:hanging="720"/>
        <w:jc w:val="both"/>
        <w:rPr>
          <w:rFonts w:ascii="Arial" w:eastAsia="Times New Roman" w:hAnsi="Arial" w:cs="Arial"/>
          <w:b/>
          <w:bCs/>
          <w:i/>
          <w:sz w:val="20"/>
          <w:szCs w:val="20"/>
          <w:lang w:eastAsia="en-GB"/>
        </w:rPr>
      </w:pPr>
    </w:p>
    <w:p w:rsidR="00CB3BFE" w:rsidRDefault="00CB3BFE" w:rsidP="00687C7B">
      <w:pPr>
        <w:spacing w:before="240" w:after="120" w:line="360" w:lineRule="auto"/>
        <w:ind w:left="720" w:hanging="720"/>
        <w:jc w:val="both"/>
        <w:rPr>
          <w:rFonts w:ascii="Arial" w:eastAsia="Times New Roman" w:hAnsi="Arial" w:cs="Arial"/>
          <w:b/>
          <w:bCs/>
          <w:i/>
          <w:sz w:val="20"/>
          <w:szCs w:val="20"/>
          <w:lang w:eastAsia="en-GB"/>
        </w:rPr>
      </w:pPr>
    </w:p>
    <w:p w:rsidR="00091A97" w:rsidRPr="0072496D" w:rsidRDefault="0005127A" w:rsidP="00687C7B">
      <w:pPr>
        <w:spacing w:before="240" w:after="120" w:line="360" w:lineRule="auto"/>
        <w:ind w:left="720" w:hanging="720"/>
        <w:jc w:val="both"/>
        <w:rPr>
          <w:rFonts w:ascii="Arial" w:eastAsia="Times New Roman" w:hAnsi="Arial" w:cs="Arial"/>
          <w:b/>
          <w:bCs/>
          <w:i/>
          <w:sz w:val="20"/>
          <w:szCs w:val="20"/>
          <w:lang w:eastAsia="en-GB"/>
        </w:rPr>
      </w:pPr>
      <w:r w:rsidRPr="0005127A">
        <w:rPr>
          <w:rFonts w:ascii="Arial" w:eastAsia="Times New Roman" w:hAnsi="Arial" w:cs="Arial"/>
          <w:b/>
          <w:bCs/>
          <w:i/>
          <w:sz w:val="20"/>
          <w:szCs w:val="20"/>
          <w:lang w:eastAsia="en-GB"/>
        </w:rPr>
        <w:lastRenderedPageBreak/>
        <w:t>5.3</w:t>
      </w:r>
      <w:r w:rsidRPr="0005127A">
        <w:rPr>
          <w:rFonts w:ascii="Arial" w:eastAsia="Times New Roman" w:hAnsi="Arial" w:cs="Arial"/>
          <w:b/>
          <w:bCs/>
          <w:i/>
          <w:sz w:val="20"/>
          <w:szCs w:val="20"/>
          <w:lang w:eastAsia="en-GB"/>
        </w:rPr>
        <w:tab/>
        <w:t>Phải trả dịch vụ quản lý quỹ</w:t>
      </w:r>
    </w:p>
    <w:p w:rsidR="00091A97" w:rsidRPr="0072496D" w:rsidRDefault="0005127A" w:rsidP="00687C7B">
      <w:pPr>
        <w:spacing w:before="120" w:after="120" w:line="360" w:lineRule="auto"/>
        <w:ind w:left="720" w:hanging="720"/>
        <w:jc w:val="both"/>
        <w:rPr>
          <w:rFonts w:ascii="Arial" w:eastAsia="Times New Roman" w:hAnsi="Arial" w:cs="Arial"/>
          <w:bCs/>
          <w:i/>
          <w:sz w:val="20"/>
          <w:szCs w:val="20"/>
          <w:lang w:eastAsia="en-GB"/>
        </w:rPr>
      </w:pPr>
      <w:r w:rsidRPr="0005127A">
        <w:rPr>
          <w:rFonts w:ascii="Arial" w:eastAsia="Times New Roman" w:hAnsi="Arial" w:cs="Arial"/>
          <w:bCs/>
          <w:i/>
          <w:sz w:val="20"/>
          <w:szCs w:val="20"/>
          <w:lang w:eastAsia="en-GB"/>
        </w:rPr>
        <w:t xml:space="preserve">5.3.1 </w:t>
      </w:r>
      <w:r w:rsidRPr="0005127A">
        <w:rPr>
          <w:rFonts w:ascii="Arial" w:eastAsia="Times New Roman" w:hAnsi="Arial" w:cs="Arial"/>
          <w:bCs/>
          <w:i/>
          <w:sz w:val="20"/>
          <w:szCs w:val="20"/>
          <w:lang w:eastAsia="en-GB"/>
        </w:rPr>
        <w:tab/>
        <w:t>Phí quản lý Quỹ</w:t>
      </w:r>
    </w:p>
    <w:p w:rsidR="00091A97" w:rsidRPr="0072496D" w:rsidRDefault="0005127A" w:rsidP="00687C7B">
      <w:pPr>
        <w:spacing w:before="120" w:after="120" w:line="360" w:lineRule="auto"/>
        <w:ind w:left="720" w:hanging="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ab/>
      </w:r>
      <w:proofErr w:type="gramStart"/>
      <w:r w:rsidRPr="0005127A">
        <w:rPr>
          <w:rFonts w:ascii="Arial" w:eastAsia="Times New Roman" w:hAnsi="Arial" w:cs="Arial"/>
          <w:bCs/>
          <w:sz w:val="20"/>
          <w:szCs w:val="20"/>
          <w:lang w:eastAsia="en-GB"/>
        </w:rPr>
        <w:t>Phí quản lý Quỹ được tính hàng tuần và hàng tháng dựa trên số ngày thực tế trong kỳ định giá và giá trị tài sản ròng của Quỹ tại ngày định giá.</w:t>
      </w:r>
      <w:proofErr w:type="gramEnd"/>
      <w:r w:rsidRPr="0005127A">
        <w:rPr>
          <w:rFonts w:ascii="Arial" w:eastAsia="Times New Roman" w:hAnsi="Arial" w:cs="Arial"/>
          <w:bCs/>
          <w:sz w:val="20"/>
          <w:szCs w:val="20"/>
          <w:lang w:eastAsia="en-GB"/>
        </w:rPr>
        <w:t xml:space="preserve"> Tỷ lệ phí quản lý Quỹ hàng năm là 1</w:t>
      </w:r>
      <w:proofErr w:type="gramStart"/>
      <w:r w:rsidRPr="0005127A">
        <w:rPr>
          <w:rFonts w:ascii="Arial" w:eastAsia="Times New Roman" w:hAnsi="Arial" w:cs="Arial"/>
          <w:bCs/>
          <w:sz w:val="20"/>
          <w:szCs w:val="20"/>
          <w:lang w:eastAsia="en-GB"/>
        </w:rPr>
        <w:t>,9</w:t>
      </w:r>
      <w:proofErr w:type="gramEnd"/>
      <w:r w:rsidRPr="0005127A">
        <w:rPr>
          <w:rFonts w:ascii="Arial" w:eastAsia="Times New Roman" w:hAnsi="Arial" w:cs="Arial"/>
          <w:bCs/>
          <w:sz w:val="20"/>
          <w:szCs w:val="20"/>
          <w:lang w:eastAsia="en-GB"/>
        </w:rPr>
        <w:t>% của giá trị tài sản ròng của Quỹ.</w:t>
      </w:r>
    </w:p>
    <w:p w:rsidR="00091A97" w:rsidRPr="0072496D" w:rsidRDefault="0005127A" w:rsidP="00687C7B">
      <w:pPr>
        <w:spacing w:before="120" w:after="120" w:line="360" w:lineRule="auto"/>
        <w:ind w:left="720" w:hanging="720"/>
        <w:jc w:val="both"/>
        <w:rPr>
          <w:rFonts w:ascii="Arial" w:eastAsia="Times New Roman" w:hAnsi="Arial" w:cs="Arial"/>
          <w:bCs/>
          <w:i/>
          <w:sz w:val="20"/>
          <w:szCs w:val="20"/>
          <w:lang w:eastAsia="en-GB"/>
        </w:rPr>
      </w:pPr>
      <w:r w:rsidRPr="0005127A">
        <w:rPr>
          <w:rFonts w:ascii="Arial" w:eastAsia="Times New Roman" w:hAnsi="Arial" w:cs="Arial"/>
          <w:bCs/>
          <w:i/>
          <w:sz w:val="20"/>
          <w:szCs w:val="20"/>
          <w:lang w:eastAsia="en-GB"/>
        </w:rPr>
        <w:t xml:space="preserve">5.3.2 </w:t>
      </w:r>
      <w:r w:rsidRPr="0005127A">
        <w:rPr>
          <w:rFonts w:ascii="Arial" w:eastAsia="Times New Roman" w:hAnsi="Arial" w:cs="Arial"/>
          <w:bCs/>
          <w:i/>
          <w:sz w:val="20"/>
          <w:szCs w:val="20"/>
          <w:lang w:eastAsia="en-GB"/>
        </w:rPr>
        <w:tab/>
        <w:t xml:space="preserve">Phí lưu ký, phí giám sát Quỹ, phí quản trị Quỹ </w:t>
      </w:r>
    </w:p>
    <w:p w:rsidR="00BB63A5" w:rsidRPr="0072496D" w:rsidRDefault="0005127A" w:rsidP="00687C7B">
      <w:pPr>
        <w:spacing w:before="120" w:after="120" w:line="360" w:lineRule="auto"/>
        <w:ind w:left="720" w:hanging="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ab/>
      </w:r>
      <w:proofErr w:type="gramStart"/>
      <w:r w:rsidRPr="0005127A">
        <w:rPr>
          <w:rFonts w:ascii="Arial" w:eastAsia="Times New Roman" w:hAnsi="Arial" w:cs="Arial"/>
          <w:bCs/>
          <w:sz w:val="20"/>
          <w:szCs w:val="20"/>
          <w:lang w:eastAsia="en-GB"/>
        </w:rPr>
        <w:t>Phí lưu ký, phí giám sát Quỹ, phí quản trị Quỹ được tính hàng tuần và hàng tháng dựa trên số ngày thực tế trong kỳ định giá và giá trị tài sản ròng (“NAV”) của Quỹ tại ngày định giá.</w:t>
      </w:r>
      <w:proofErr w:type="gramEnd"/>
      <w:r w:rsidRPr="0005127A">
        <w:rPr>
          <w:rFonts w:ascii="Arial" w:eastAsia="Times New Roman" w:hAnsi="Arial" w:cs="Arial"/>
          <w:bCs/>
          <w:sz w:val="20"/>
          <w:szCs w:val="20"/>
          <w:lang w:eastAsia="en-GB"/>
        </w:rPr>
        <w:t xml:space="preserve"> </w:t>
      </w:r>
    </w:p>
    <w:p w:rsidR="00457CEF" w:rsidRPr="0072496D" w:rsidRDefault="0005127A" w:rsidP="00687C7B">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Tỷ lệ phí lưu ký hàng năm là 0</w:t>
      </w:r>
      <w:proofErr w:type="gramStart"/>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03</w:t>
      </w:r>
      <w:proofErr w:type="gramEnd"/>
      <w:r w:rsidRPr="0005127A">
        <w:rPr>
          <w:rFonts w:ascii="Arial" w:eastAsia="Times New Roman" w:hAnsi="Arial" w:cs="Arial"/>
          <w:bCs/>
          <w:sz w:val="20"/>
          <w:szCs w:val="20"/>
          <w:lang w:eastAsia="en-GB"/>
        </w:rPr>
        <w:t>%/NAV/Năm của Quỹ và thấp nhất 12</w:t>
      </w:r>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000</w:t>
      </w:r>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000 đồng/tháng không có thuế VAT.</w:t>
      </w:r>
    </w:p>
    <w:p w:rsidR="00BB63A5" w:rsidRPr="0072496D" w:rsidRDefault="0005127A" w:rsidP="00687C7B">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Tỷ lệ phí Quản trị Quỹ hàng năm là 0</w:t>
      </w:r>
      <w:proofErr w:type="gramStart"/>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04</w:t>
      </w:r>
      <w:proofErr w:type="gramEnd"/>
      <w:r w:rsidRPr="0005127A">
        <w:rPr>
          <w:rFonts w:ascii="Arial" w:eastAsia="Times New Roman" w:hAnsi="Arial" w:cs="Arial"/>
          <w:bCs/>
          <w:sz w:val="20"/>
          <w:szCs w:val="20"/>
          <w:lang w:eastAsia="en-GB"/>
        </w:rPr>
        <w:t>%/NAV/Năm của Quỹ và thấp nhất 18</w:t>
      </w:r>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000</w:t>
      </w:r>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000 đồng/tháng chưa bao gồm thuế VAT.</w:t>
      </w:r>
    </w:p>
    <w:p w:rsidR="005C35B6" w:rsidRPr="0072496D" w:rsidRDefault="0005127A" w:rsidP="005C35B6">
      <w:pPr>
        <w:spacing w:before="120" w:after="120" w:line="360" w:lineRule="auto"/>
        <w:ind w:left="720"/>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Tỷ lệ phí giám sát hàng năm là 0</w:t>
      </w:r>
      <w:proofErr w:type="gramStart"/>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05</w:t>
      </w:r>
      <w:proofErr w:type="gramEnd"/>
      <w:r w:rsidRPr="0005127A">
        <w:rPr>
          <w:rFonts w:ascii="Arial" w:eastAsia="Times New Roman" w:hAnsi="Arial" w:cs="Arial"/>
          <w:bCs/>
          <w:sz w:val="20"/>
          <w:szCs w:val="20"/>
          <w:lang w:eastAsia="en-GB"/>
        </w:rPr>
        <w:t>%/NAV/Năm của Quỹ và thấp nhất 20</w:t>
      </w:r>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000</w:t>
      </w:r>
      <w:r w:rsidRPr="0005127A">
        <w:rPr>
          <w:rFonts w:ascii="Arial" w:eastAsia="Times New Roman" w:hAnsi="Arial" w:cs="Arial"/>
          <w:bCs/>
          <w:sz w:val="20"/>
          <w:szCs w:val="20"/>
          <w:lang w:val="vi-VN" w:eastAsia="en-GB"/>
        </w:rPr>
        <w:t>.</w:t>
      </w:r>
      <w:r w:rsidRPr="0005127A">
        <w:rPr>
          <w:rFonts w:ascii="Arial" w:eastAsia="Times New Roman" w:hAnsi="Arial" w:cs="Arial"/>
          <w:bCs/>
          <w:sz w:val="20"/>
          <w:szCs w:val="20"/>
          <w:lang w:eastAsia="en-GB"/>
        </w:rPr>
        <w:t>000 đồng/tháng chưa bao gồm thuế VAT.</w:t>
      </w:r>
    </w:p>
    <w:p w:rsidR="0005127A" w:rsidRDefault="0005127A" w:rsidP="00CB3BFE">
      <w:pPr>
        <w:tabs>
          <w:tab w:val="left" w:pos="720"/>
        </w:tabs>
        <w:spacing w:beforeLines="60" w:afterLines="60" w:line="360" w:lineRule="auto"/>
        <w:jc w:val="both"/>
        <w:rPr>
          <w:rFonts w:ascii="Arial" w:eastAsia="Times New Roman" w:hAnsi="Arial" w:cs="Arial"/>
          <w:b/>
          <w:bCs/>
          <w:i/>
          <w:sz w:val="20"/>
          <w:szCs w:val="20"/>
        </w:rPr>
      </w:pPr>
      <w:r w:rsidRPr="0005127A">
        <w:rPr>
          <w:rFonts w:ascii="Arial" w:eastAsia="Times New Roman" w:hAnsi="Arial" w:cs="Arial"/>
          <w:b/>
          <w:bCs/>
          <w:i/>
          <w:sz w:val="20"/>
          <w:szCs w:val="20"/>
        </w:rPr>
        <w:t>5.4</w:t>
      </w:r>
      <w:r w:rsidR="004723EE">
        <w:rPr>
          <w:rFonts w:ascii="Arial" w:eastAsia="Times New Roman" w:hAnsi="Arial" w:cs="Arial"/>
          <w:b/>
          <w:bCs/>
          <w:i/>
          <w:sz w:val="20"/>
          <w:szCs w:val="20"/>
        </w:rPr>
        <w:tab/>
        <w:t>Phải trả Công ty Quản lý quỹ,</w:t>
      </w:r>
      <w:r w:rsidRPr="0005127A">
        <w:rPr>
          <w:rFonts w:ascii="Arial" w:eastAsia="Times New Roman" w:hAnsi="Arial" w:cs="Arial"/>
          <w:b/>
          <w:bCs/>
          <w:i/>
          <w:sz w:val="20"/>
          <w:szCs w:val="20"/>
        </w:rPr>
        <w:t xml:space="preserve"> Đại lý phân phối về phí phát hành và mua lại Chứng chỉ quỹ</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97"/>
        <w:gridCol w:w="2120"/>
        <w:gridCol w:w="2543"/>
      </w:tblGrid>
      <w:tr w:rsidR="00574838" w:rsidRPr="0072496D" w:rsidTr="001139AD">
        <w:trPr>
          <w:trHeight w:val="1026"/>
        </w:trPr>
        <w:tc>
          <w:tcPr>
            <w:tcW w:w="4697" w:type="dxa"/>
          </w:tcPr>
          <w:p w:rsidR="00574838" w:rsidRPr="0072496D" w:rsidRDefault="0005127A" w:rsidP="0050423F">
            <w:pPr>
              <w:spacing w:after="200"/>
              <w:jc w:val="both"/>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ab/>
            </w:r>
          </w:p>
        </w:tc>
        <w:tc>
          <w:tcPr>
            <w:tcW w:w="2120" w:type="dxa"/>
            <w:vAlign w:val="bottom"/>
          </w:tcPr>
          <w:p w:rsidR="00574838" w:rsidRPr="0072496D" w:rsidRDefault="0005127A" w:rsidP="0050423F">
            <w:pPr>
              <w:pBdr>
                <w:bottom w:val="single" w:sz="4" w:space="1" w:color="auto"/>
              </w:pBdr>
              <w:spacing w:after="200"/>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Tại ngày </w:t>
            </w:r>
          </w:p>
          <w:p w:rsidR="00574838" w:rsidRPr="0072496D" w:rsidRDefault="0005127A" w:rsidP="0050423F">
            <w:pPr>
              <w:pBdr>
                <w:bottom w:val="single" w:sz="4" w:space="1" w:color="auto"/>
              </w:pBdr>
              <w:spacing w:after="200"/>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31/12/2017</w:t>
            </w:r>
          </w:p>
          <w:p w:rsidR="00574838" w:rsidRPr="0072496D" w:rsidRDefault="0005127A" w:rsidP="0050423F">
            <w:pPr>
              <w:pBdr>
                <w:bottom w:val="single" w:sz="4" w:space="1" w:color="auto"/>
              </w:pBdr>
              <w:spacing w:after="200"/>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VND</w:t>
            </w:r>
          </w:p>
        </w:tc>
        <w:tc>
          <w:tcPr>
            <w:tcW w:w="2543" w:type="dxa"/>
            <w:vAlign w:val="bottom"/>
          </w:tcPr>
          <w:p w:rsidR="007B0506" w:rsidRPr="0072496D" w:rsidRDefault="0005127A" w:rsidP="007B0506">
            <w:pPr>
              <w:pBdr>
                <w:bottom w:val="single" w:sz="4" w:space="1" w:color="auto"/>
              </w:pBdr>
              <w:spacing w:after="200"/>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Tại ngày </w:t>
            </w:r>
          </w:p>
          <w:p w:rsidR="008A4E1A" w:rsidRPr="0072496D" w:rsidRDefault="0005127A" w:rsidP="008A4E1A">
            <w:pPr>
              <w:pBdr>
                <w:bottom w:val="single" w:sz="4" w:space="1" w:color="auto"/>
              </w:pBdr>
              <w:spacing w:after="200"/>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30/09/2017</w:t>
            </w:r>
          </w:p>
          <w:p w:rsidR="00574838" w:rsidRPr="0072496D" w:rsidRDefault="0005127A" w:rsidP="007B0506">
            <w:pPr>
              <w:pBdr>
                <w:bottom w:val="single" w:sz="4" w:space="1" w:color="auto"/>
              </w:pBdr>
              <w:spacing w:after="200"/>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VND</w:t>
            </w:r>
          </w:p>
        </w:tc>
      </w:tr>
      <w:tr w:rsidR="006E2F62" w:rsidRPr="0072496D" w:rsidTr="001139AD">
        <w:trPr>
          <w:trHeight w:val="730"/>
        </w:trPr>
        <w:tc>
          <w:tcPr>
            <w:tcW w:w="4697" w:type="dxa"/>
          </w:tcPr>
          <w:p w:rsidR="006E2F62" w:rsidRPr="0072496D" w:rsidRDefault="0005127A" w:rsidP="004D25FA">
            <w:pPr>
              <w:spacing w:before="120" w:after="120" w:line="360" w:lineRule="auto"/>
              <w:rPr>
                <w:rFonts w:ascii="Arial" w:eastAsia="Times New Roman" w:hAnsi="Arial" w:cs="Arial"/>
                <w:b/>
                <w:bCs/>
                <w:sz w:val="20"/>
                <w:szCs w:val="20"/>
                <w:lang w:eastAsia="en-GB"/>
              </w:rPr>
            </w:pPr>
            <w:r w:rsidRPr="0005127A">
              <w:rPr>
                <w:rFonts w:ascii="Arial" w:hAnsi="Arial" w:cs="Arial"/>
                <w:sz w:val="20"/>
                <w:szCs w:val="20"/>
              </w:rPr>
              <w:t>Phải trả Công ty Quản lý quỹ</w:t>
            </w:r>
          </w:p>
        </w:tc>
        <w:tc>
          <w:tcPr>
            <w:tcW w:w="2120" w:type="dxa"/>
          </w:tcPr>
          <w:p w:rsidR="006E2F62" w:rsidRPr="0072496D" w:rsidRDefault="0005127A"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05127A">
              <w:rPr>
                <w:rFonts w:ascii="Arial" w:eastAsia="Times New Roman" w:hAnsi="Arial" w:cs="Arial"/>
                <w:bCs/>
                <w:sz w:val="20"/>
                <w:szCs w:val="20"/>
                <w:lang w:eastAsia="en-GB"/>
              </w:rPr>
              <w:t>149.808.745</w:t>
            </w:r>
          </w:p>
        </w:tc>
        <w:tc>
          <w:tcPr>
            <w:tcW w:w="2543" w:type="dxa"/>
          </w:tcPr>
          <w:p w:rsidR="006E2F62" w:rsidRPr="0072496D" w:rsidRDefault="0005127A" w:rsidP="006E2F62">
            <w:pPr>
              <w:pBdr>
                <w:bottom w:val="single" w:sz="4" w:space="1" w:color="auto"/>
              </w:pBdr>
              <w:spacing w:before="240" w:after="120" w:line="360" w:lineRule="auto"/>
              <w:jc w:val="right"/>
              <w:rPr>
                <w:rFonts w:ascii="Arial" w:eastAsia="Times New Roman" w:hAnsi="Arial" w:cs="Arial"/>
                <w:bCs/>
                <w:sz w:val="20"/>
                <w:szCs w:val="20"/>
                <w:lang w:eastAsia="en-GB"/>
              </w:rPr>
            </w:pPr>
            <w:r w:rsidRPr="0005127A">
              <w:rPr>
                <w:rFonts w:ascii="Arial" w:eastAsia="Times New Roman" w:hAnsi="Arial" w:cs="Arial"/>
                <w:bCs/>
                <w:sz w:val="20"/>
                <w:szCs w:val="20"/>
                <w:lang w:eastAsia="en-GB"/>
              </w:rPr>
              <w:t>1.795.422</w:t>
            </w:r>
          </w:p>
        </w:tc>
      </w:tr>
      <w:tr w:rsidR="006E2F62" w:rsidRPr="0072496D" w:rsidTr="001139AD">
        <w:trPr>
          <w:trHeight w:val="593"/>
        </w:trPr>
        <w:tc>
          <w:tcPr>
            <w:tcW w:w="4697" w:type="dxa"/>
          </w:tcPr>
          <w:p w:rsidR="006E2F62" w:rsidRPr="0072496D" w:rsidRDefault="006E2F62" w:rsidP="00BC5782">
            <w:pPr>
              <w:tabs>
                <w:tab w:val="left" w:pos="2116"/>
              </w:tabs>
              <w:spacing w:before="120" w:after="200" w:line="240" w:lineRule="auto"/>
              <w:rPr>
                <w:rFonts w:ascii="Arial" w:hAnsi="Arial" w:cs="Arial"/>
                <w:sz w:val="20"/>
                <w:szCs w:val="20"/>
              </w:rPr>
            </w:pPr>
          </w:p>
        </w:tc>
        <w:tc>
          <w:tcPr>
            <w:tcW w:w="2120" w:type="dxa"/>
          </w:tcPr>
          <w:p w:rsidR="008A4E1A" w:rsidRPr="0072496D" w:rsidRDefault="0005127A"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149.808.745</w:t>
            </w:r>
          </w:p>
        </w:tc>
        <w:tc>
          <w:tcPr>
            <w:tcW w:w="2543" w:type="dxa"/>
          </w:tcPr>
          <w:p w:rsidR="006E2F62" w:rsidRPr="0072496D" w:rsidRDefault="0005127A" w:rsidP="006E2F62">
            <w:pPr>
              <w:pBdr>
                <w:bottom w:val="double" w:sz="4" w:space="1" w:color="auto"/>
              </w:pBdr>
              <w:spacing w:before="60" w:after="60" w:line="360" w:lineRule="auto"/>
              <w:jc w:val="right"/>
              <w:rPr>
                <w:rFonts w:ascii="Arial" w:eastAsia="Times New Roman" w:hAnsi="Arial" w:cs="Arial"/>
                <w:b/>
                <w:bCs/>
                <w:sz w:val="20"/>
                <w:szCs w:val="20"/>
                <w:lang w:val="vi-VN" w:eastAsia="en-GB"/>
              </w:rPr>
            </w:pPr>
            <w:r w:rsidRPr="0005127A">
              <w:rPr>
                <w:rFonts w:ascii="Arial" w:eastAsia="Times New Roman" w:hAnsi="Arial" w:cs="Arial"/>
                <w:b/>
                <w:bCs/>
                <w:sz w:val="20"/>
                <w:szCs w:val="20"/>
                <w:lang w:eastAsia="en-GB"/>
              </w:rPr>
              <w:t>1.795.422</w:t>
            </w:r>
          </w:p>
        </w:tc>
      </w:tr>
    </w:tbl>
    <w:p w:rsidR="0005127A" w:rsidRDefault="0005127A" w:rsidP="00CB3BFE">
      <w:pPr>
        <w:spacing w:beforeLines="60" w:afterLines="60" w:line="360" w:lineRule="auto"/>
        <w:ind w:left="720" w:hanging="720"/>
        <w:jc w:val="both"/>
        <w:rPr>
          <w:rFonts w:ascii="Arial" w:eastAsia="Times New Roman" w:hAnsi="Arial" w:cs="Arial"/>
          <w:b/>
          <w:bCs/>
          <w:i/>
          <w:sz w:val="20"/>
          <w:szCs w:val="20"/>
          <w:lang w:eastAsia="en-GB"/>
        </w:rPr>
      </w:pPr>
    </w:p>
    <w:p w:rsidR="0005127A" w:rsidRDefault="0005127A" w:rsidP="001139AD">
      <w:pPr>
        <w:tabs>
          <w:tab w:val="left" w:pos="90"/>
        </w:tabs>
        <w:spacing w:before="144" w:after="144" w:line="240" w:lineRule="auto"/>
        <w:rPr>
          <w:rFonts w:ascii="Arial" w:eastAsia="Times New Roman" w:hAnsi="Arial" w:cs="Arial"/>
          <w:b/>
          <w:bCs/>
          <w:i/>
          <w:sz w:val="20"/>
          <w:szCs w:val="20"/>
          <w:lang w:eastAsia="en-GB"/>
        </w:rPr>
      </w:pPr>
      <w:r w:rsidRPr="0005127A">
        <w:rPr>
          <w:rFonts w:ascii="Arial" w:eastAsia="Times New Roman" w:hAnsi="Arial" w:cs="Arial"/>
          <w:b/>
          <w:bCs/>
          <w:i/>
          <w:sz w:val="20"/>
          <w:szCs w:val="20"/>
          <w:lang w:eastAsia="en-GB"/>
        </w:rPr>
        <w:t xml:space="preserve">5.5 </w:t>
      </w:r>
      <w:r w:rsidRPr="0005127A">
        <w:rPr>
          <w:rFonts w:ascii="Arial" w:eastAsia="Times New Roman" w:hAnsi="Arial" w:cs="Arial"/>
          <w:b/>
          <w:bCs/>
          <w:i/>
          <w:sz w:val="20"/>
          <w:szCs w:val="20"/>
          <w:lang w:eastAsia="en-GB"/>
        </w:rPr>
        <w:tab/>
        <w:t>Tình hình biến động vốn chủ sở hữu</w:t>
      </w:r>
    </w:p>
    <w:tbl>
      <w:tblPr>
        <w:tblW w:w="5000" w:type="pct"/>
        <w:tblLook w:val="04A0"/>
      </w:tblPr>
      <w:tblGrid>
        <w:gridCol w:w="2757"/>
        <w:gridCol w:w="375"/>
        <w:gridCol w:w="2133"/>
        <w:gridCol w:w="2301"/>
        <w:gridCol w:w="1964"/>
      </w:tblGrid>
      <w:tr w:rsidR="00A97E90" w:rsidRPr="0072496D" w:rsidTr="00045A11">
        <w:trPr>
          <w:trHeight w:val="376"/>
        </w:trPr>
        <w:tc>
          <w:tcPr>
            <w:tcW w:w="1468" w:type="pct"/>
            <w:tcBorders>
              <w:top w:val="nil"/>
              <w:left w:val="nil"/>
              <w:bottom w:val="nil"/>
              <w:right w:val="nil"/>
            </w:tcBorders>
            <w:shd w:val="clear" w:color="auto" w:fill="auto"/>
            <w:noWrap/>
            <w:vAlign w:val="bottom"/>
            <w:hideMark/>
          </w:tcPr>
          <w:p w:rsidR="00A97E90" w:rsidRPr="0072496D" w:rsidRDefault="0005127A" w:rsidP="00A97E90">
            <w:pPr>
              <w:spacing w:after="0" w:line="240" w:lineRule="auto"/>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76" w:type="pct"/>
            <w:tcBorders>
              <w:top w:val="nil"/>
              <w:left w:val="nil"/>
              <w:bottom w:val="nil"/>
              <w:right w:val="nil"/>
            </w:tcBorders>
            <w:shd w:val="clear" w:color="auto" w:fill="auto"/>
            <w:noWrap/>
            <w:vAlign w:val="bottom"/>
            <w:hideMark/>
          </w:tcPr>
          <w:p w:rsidR="00A97E90" w:rsidRPr="0072496D" w:rsidRDefault="0005127A" w:rsidP="00A97E90">
            <w:pPr>
              <w:spacing w:after="0" w:line="240" w:lineRule="auto"/>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center"/>
            <w:hideMark/>
          </w:tcPr>
          <w:p w:rsidR="00A97E90" w:rsidRPr="0072496D" w:rsidRDefault="0005127A" w:rsidP="00A97E90">
            <w:pPr>
              <w:spacing w:after="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Tại ngày 30/09/2017</w:t>
            </w:r>
          </w:p>
        </w:tc>
        <w:tc>
          <w:tcPr>
            <w:tcW w:w="1110" w:type="pct"/>
            <w:tcBorders>
              <w:top w:val="nil"/>
              <w:left w:val="nil"/>
              <w:bottom w:val="nil"/>
              <w:right w:val="nil"/>
            </w:tcBorders>
            <w:shd w:val="clear" w:color="auto" w:fill="auto"/>
            <w:noWrap/>
            <w:vAlign w:val="center"/>
            <w:hideMark/>
          </w:tcPr>
          <w:p w:rsidR="00A97E90" w:rsidRPr="0072496D" w:rsidRDefault="0005127A" w:rsidP="00A97E90">
            <w:pPr>
              <w:spacing w:after="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Phát sinh trong kỳ</w:t>
            </w:r>
          </w:p>
        </w:tc>
        <w:tc>
          <w:tcPr>
            <w:tcW w:w="1128" w:type="pct"/>
            <w:tcBorders>
              <w:top w:val="nil"/>
              <w:left w:val="nil"/>
              <w:bottom w:val="nil"/>
              <w:right w:val="nil"/>
            </w:tcBorders>
            <w:shd w:val="clear" w:color="auto" w:fill="auto"/>
            <w:noWrap/>
            <w:vAlign w:val="center"/>
            <w:hideMark/>
          </w:tcPr>
          <w:p w:rsidR="00A97E90" w:rsidRPr="0072496D" w:rsidRDefault="0005127A" w:rsidP="00A97E90">
            <w:pPr>
              <w:spacing w:after="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Tại ngày 31/12/2017</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Vốn góp phát hành</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iCs/>
                <w:sz w:val="20"/>
                <w:szCs w:val="20"/>
                <w:lang w:eastAsia="en-GB"/>
              </w:rPr>
            </w:pPr>
            <w:r w:rsidRPr="0005127A">
              <w:rPr>
                <w:rFonts w:ascii="Arial" w:eastAsia="Times New Roman" w:hAnsi="Arial" w:cs="Arial"/>
                <w:iCs/>
                <w:sz w:val="20"/>
                <w:szCs w:val="20"/>
                <w:lang w:eastAsia="en-GB"/>
              </w:rPr>
              <w:t>Số lượng</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13.348.060,94 </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5.452.153,32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18.800.214,26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iCs/>
                <w:sz w:val="20"/>
                <w:szCs w:val="20"/>
                <w:lang w:eastAsia="en-GB"/>
              </w:rPr>
            </w:pPr>
            <w:r w:rsidRPr="0005127A">
              <w:rPr>
                <w:rFonts w:ascii="Arial" w:eastAsia="Times New Roman" w:hAnsi="Arial" w:cs="Arial"/>
                <w:iCs/>
                <w:sz w:val="20"/>
                <w:szCs w:val="20"/>
                <w:lang w:eastAsia="en-GB"/>
              </w:rPr>
              <w:t>Giá trị ghi theo mệnh giá</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133.480.609.400 </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54.521.533.200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188.002.142.600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iCs/>
                <w:sz w:val="20"/>
                <w:szCs w:val="20"/>
                <w:lang w:eastAsia="en-GB"/>
              </w:rPr>
            </w:pPr>
            <w:r w:rsidRPr="0005127A">
              <w:rPr>
                <w:rFonts w:ascii="Arial" w:eastAsia="Times New Roman" w:hAnsi="Arial" w:cs="Arial"/>
                <w:iCs/>
                <w:sz w:val="20"/>
                <w:szCs w:val="20"/>
                <w:lang w:eastAsia="en-GB"/>
              </w:rPr>
              <w:t>Thặng dư vốn</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8.943.177.713 </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21.695.675.991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30.638.853.704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iCs/>
                <w:sz w:val="20"/>
                <w:szCs w:val="20"/>
                <w:lang w:eastAsia="en-GB"/>
              </w:rPr>
            </w:pPr>
            <w:r w:rsidRPr="0005127A">
              <w:rPr>
                <w:rFonts w:ascii="Arial" w:eastAsia="Times New Roman" w:hAnsi="Arial" w:cs="Arial"/>
                <w:iCs/>
                <w:sz w:val="20"/>
                <w:szCs w:val="20"/>
                <w:lang w:eastAsia="en-GB"/>
              </w:rPr>
              <w:t>Tổng giá trị phát hành CCQ</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142.423.787.113 </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76.217.209.191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218.640.996.304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Vốn góp mua lại</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iCs/>
                <w:sz w:val="20"/>
                <w:szCs w:val="20"/>
                <w:lang w:eastAsia="en-GB"/>
              </w:rPr>
            </w:pPr>
            <w:r w:rsidRPr="0005127A">
              <w:rPr>
                <w:rFonts w:ascii="Arial" w:eastAsia="Times New Roman" w:hAnsi="Arial" w:cs="Arial"/>
                <w:iCs/>
                <w:sz w:val="20"/>
                <w:szCs w:val="20"/>
                <w:lang w:eastAsia="en-GB"/>
              </w:rPr>
              <w:t>Số lượng</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(8.564.928,40)</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(3.903.557,33)</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(12.468.485,73)</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iCs/>
                <w:sz w:val="20"/>
                <w:szCs w:val="20"/>
                <w:lang w:eastAsia="en-GB"/>
              </w:rPr>
            </w:pPr>
            <w:r w:rsidRPr="0005127A">
              <w:rPr>
                <w:rFonts w:ascii="Arial" w:eastAsia="Times New Roman" w:hAnsi="Arial" w:cs="Arial"/>
                <w:iCs/>
                <w:sz w:val="20"/>
                <w:szCs w:val="20"/>
                <w:lang w:eastAsia="en-GB"/>
              </w:rPr>
              <w:t>Giá trị ghi theo mệnh giá</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(85.649.284.000)</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(39.035.573.300)</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(124.684.857.300)</w:t>
            </w:r>
          </w:p>
        </w:tc>
      </w:tr>
      <w:tr w:rsidR="00A97E90" w:rsidRPr="0072496D" w:rsidTr="00045A11">
        <w:trPr>
          <w:trHeight w:val="326"/>
        </w:trPr>
        <w:tc>
          <w:tcPr>
            <w:tcW w:w="1644" w:type="pct"/>
            <w:gridSpan w:val="2"/>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iCs/>
                <w:sz w:val="20"/>
                <w:szCs w:val="20"/>
                <w:lang w:eastAsia="en-GB"/>
              </w:rPr>
            </w:pPr>
            <w:r w:rsidRPr="0005127A">
              <w:rPr>
                <w:rFonts w:ascii="Arial" w:eastAsia="Times New Roman" w:hAnsi="Arial" w:cs="Arial"/>
                <w:iCs/>
                <w:sz w:val="20"/>
                <w:szCs w:val="20"/>
                <w:lang w:eastAsia="en-GB"/>
              </w:rPr>
              <w:t>Thặng dư vốn góp mua lại của Nhà đầu tư</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(8.367.060.346)</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(14.565.967.615)</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(22.933.027.961)</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iCs/>
                <w:sz w:val="20"/>
                <w:szCs w:val="20"/>
                <w:lang w:eastAsia="en-GB"/>
              </w:rPr>
            </w:pPr>
            <w:r w:rsidRPr="0005127A">
              <w:rPr>
                <w:rFonts w:ascii="Arial" w:eastAsia="Times New Roman" w:hAnsi="Arial" w:cs="Arial"/>
                <w:iCs/>
                <w:sz w:val="20"/>
                <w:szCs w:val="20"/>
                <w:lang w:eastAsia="en-GB"/>
              </w:rPr>
              <w:lastRenderedPageBreak/>
              <w:t>Tổng giá trị mua lại CCQ</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(94.016.344.346)</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(53.601.540.915)</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xml:space="preserve">            (147.617.885.261)</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Lợi nhuận để lại</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11.987.277.088 </w:t>
            </w:r>
          </w:p>
        </w:tc>
        <w:tc>
          <w:tcPr>
            <w:tcW w:w="1110" w:type="pct"/>
            <w:tcBorders>
              <w:top w:val="nil"/>
              <w:left w:val="nil"/>
              <w:bottom w:val="nil"/>
              <w:right w:val="nil"/>
            </w:tcBorders>
            <w:shd w:val="clear" w:color="auto" w:fill="auto"/>
            <w:noWrap/>
            <w:vAlign w:val="bottom"/>
            <w:hideMark/>
          </w:tcPr>
          <w:p w:rsidR="00A97E90" w:rsidRPr="004723EE" w:rsidRDefault="0005127A" w:rsidP="002B222E">
            <w:pPr>
              <w:spacing w:after="0" w:line="240" w:lineRule="auto"/>
              <w:contextualSpacing/>
              <w:jc w:val="right"/>
              <w:rPr>
                <w:rFonts w:ascii="Arial" w:eastAsia="Times New Roman" w:hAnsi="Arial" w:cs="Arial"/>
                <w:b/>
                <w:iCs/>
                <w:sz w:val="20"/>
                <w:szCs w:val="20"/>
                <w:lang w:eastAsia="en-GB"/>
              </w:rPr>
            </w:pPr>
            <w:r w:rsidRPr="0005127A">
              <w:rPr>
                <w:rFonts w:ascii="Arial" w:eastAsia="Times New Roman" w:hAnsi="Arial" w:cs="Arial"/>
                <w:b/>
                <w:iCs/>
                <w:sz w:val="20"/>
                <w:szCs w:val="20"/>
                <w:lang w:eastAsia="en-GB"/>
              </w:rPr>
              <w:t xml:space="preserve">                        14.695.970.694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26.683.247.782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Số lượng CCQ hiện hành</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4.783.132,54 </w:t>
            </w:r>
          </w:p>
        </w:tc>
        <w:tc>
          <w:tcPr>
            <w:tcW w:w="1110" w:type="pct"/>
            <w:tcBorders>
              <w:top w:val="nil"/>
              <w:left w:val="nil"/>
              <w:bottom w:val="nil"/>
              <w:right w:val="nil"/>
            </w:tcBorders>
            <w:shd w:val="clear" w:color="auto" w:fill="auto"/>
            <w:noWrap/>
            <w:vAlign w:val="bottom"/>
            <w:hideMark/>
          </w:tcPr>
          <w:p w:rsidR="00A97E90" w:rsidRPr="004723EE" w:rsidRDefault="0005127A" w:rsidP="002B222E">
            <w:pPr>
              <w:spacing w:after="0" w:line="240" w:lineRule="auto"/>
              <w:contextualSpacing/>
              <w:jc w:val="right"/>
              <w:rPr>
                <w:rFonts w:ascii="Arial" w:eastAsia="Times New Roman" w:hAnsi="Arial" w:cs="Arial"/>
                <w:b/>
                <w:iCs/>
                <w:sz w:val="20"/>
                <w:szCs w:val="20"/>
                <w:lang w:eastAsia="en-GB"/>
              </w:rPr>
            </w:pPr>
            <w:r w:rsidRPr="0005127A">
              <w:rPr>
                <w:rFonts w:ascii="Arial" w:eastAsia="Times New Roman" w:hAnsi="Arial" w:cs="Arial"/>
                <w:b/>
                <w:iCs/>
                <w:sz w:val="20"/>
                <w:szCs w:val="20"/>
                <w:lang w:eastAsia="en-GB"/>
              </w:rPr>
              <w:t xml:space="preserve">                           1.548.595,99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6.331.728,53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Giá trị vốn góp hiện hành</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60.394.719.855 </w:t>
            </w:r>
          </w:p>
        </w:tc>
        <w:tc>
          <w:tcPr>
            <w:tcW w:w="1110" w:type="pct"/>
            <w:tcBorders>
              <w:top w:val="nil"/>
              <w:left w:val="nil"/>
              <w:bottom w:val="nil"/>
              <w:right w:val="nil"/>
            </w:tcBorders>
            <w:shd w:val="clear" w:color="auto" w:fill="auto"/>
            <w:noWrap/>
            <w:vAlign w:val="bottom"/>
            <w:hideMark/>
          </w:tcPr>
          <w:p w:rsidR="00A97E90" w:rsidRPr="004723EE" w:rsidRDefault="0005127A" w:rsidP="002B222E">
            <w:pPr>
              <w:spacing w:after="0" w:line="240" w:lineRule="auto"/>
              <w:contextualSpacing/>
              <w:jc w:val="right"/>
              <w:rPr>
                <w:rFonts w:ascii="Arial" w:eastAsia="Times New Roman" w:hAnsi="Arial" w:cs="Arial"/>
                <w:b/>
                <w:iCs/>
                <w:sz w:val="20"/>
                <w:szCs w:val="20"/>
                <w:lang w:eastAsia="en-GB"/>
              </w:rPr>
            </w:pPr>
            <w:r w:rsidRPr="0005127A">
              <w:rPr>
                <w:rFonts w:ascii="Arial" w:eastAsia="Times New Roman" w:hAnsi="Arial" w:cs="Arial"/>
                <w:b/>
                <w:iCs/>
                <w:sz w:val="20"/>
                <w:szCs w:val="20"/>
                <w:lang w:eastAsia="en-GB"/>
              </w:rPr>
              <w:t xml:space="preserve">                        37.311.638.970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97.706.358.825 </w:t>
            </w:r>
          </w:p>
        </w:tc>
      </w:tr>
      <w:tr w:rsidR="00A97E90" w:rsidRPr="0072496D" w:rsidTr="00045A11">
        <w:trPr>
          <w:trHeight w:val="326"/>
        </w:trPr>
        <w:tc>
          <w:tcPr>
            <w:tcW w:w="146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NAV hiện hành/ 1 CCQ</w:t>
            </w:r>
          </w:p>
        </w:tc>
        <w:tc>
          <w:tcPr>
            <w:tcW w:w="176"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rPr>
                <w:rFonts w:ascii="Arial" w:eastAsia="Times New Roman" w:hAnsi="Arial" w:cs="Arial"/>
                <w:sz w:val="20"/>
                <w:szCs w:val="20"/>
                <w:lang w:eastAsia="en-GB"/>
              </w:rPr>
            </w:pPr>
            <w:r w:rsidRPr="0005127A">
              <w:rPr>
                <w:rFonts w:ascii="Arial" w:eastAsia="Times New Roman" w:hAnsi="Arial" w:cs="Arial"/>
                <w:sz w:val="20"/>
                <w:szCs w:val="20"/>
                <w:lang w:eastAsia="en-GB"/>
              </w:rPr>
              <w:t> </w:t>
            </w:r>
          </w:p>
        </w:tc>
        <w:tc>
          <w:tcPr>
            <w:tcW w:w="1119"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12.626,60 </w:t>
            </w:r>
          </w:p>
        </w:tc>
        <w:tc>
          <w:tcPr>
            <w:tcW w:w="1110"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iCs/>
                <w:sz w:val="20"/>
                <w:szCs w:val="20"/>
                <w:lang w:eastAsia="en-GB"/>
              </w:rPr>
            </w:pPr>
            <w:r w:rsidRPr="0005127A">
              <w:rPr>
                <w:rFonts w:ascii="Arial" w:eastAsia="Times New Roman" w:hAnsi="Arial" w:cs="Arial"/>
                <w:iCs/>
                <w:sz w:val="20"/>
                <w:szCs w:val="20"/>
                <w:lang w:eastAsia="en-GB"/>
              </w:rPr>
              <w:t> </w:t>
            </w:r>
          </w:p>
        </w:tc>
        <w:tc>
          <w:tcPr>
            <w:tcW w:w="1128" w:type="pct"/>
            <w:tcBorders>
              <w:top w:val="nil"/>
              <w:left w:val="nil"/>
              <w:bottom w:val="nil"/>
              <w:right w:val="nil"/>
            </w:tcBorders>
            <w:shd w:val="clear" w:color="auto" w:fill="auto"/>
            <w:noWrap/>
            <w:vAlign w:val="bottom"/>
            <w:hideMark/>
          </w:tcPr>
          <w:p w:rsidR="00A97E90" w:rsidRPr="0072496D" w:rsidRDefault="0005127A" w:rsidP="002B222E">
            <w:pPr>
              <w:spacing w:after="0" w:line="240" w:lineRule="auto"/>
              <w:contextualSpacing/>
              <w:jc w:val="right"/>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 xml:space="preserve">                      15.431,22 </w:t>
            </w:r>
          </w:p>
        </w:tc>
      </w:tr>
    </w:tbl>
    <w:p w:rsidR="00B605DB" w:rsidRPr="0072496D" w:rsidRDefault="00B605DB" w:rsidP="0004797E">
      <w:pPr>
        <w:spacing w:before="240" w:after="120" w:line="360" w:lineRule="auto"/>
        <w:jc w:val="both"/>
        <w:rPr>
          <w:rFonts w:ascii="Arial" w:eastAsia="Times New Roman" w:hAnsi="Arial" w:cs="Arial"/>
          <w:b/>
          <w:bCs/>
          <w:i/>
          <w:sz w:val="20"/>
          <w:szCs w:val="20"/>
          <w:lang w:eastAsia="en-GB"/>
        </w:rPr>
      </w:pPr>
    </w:p>
    <w:p w:rsidR="00B605DB" w:rsidRPr="00EB45FB" w:rsidRDefault="0005127A" w:rsidP="00EB45FB">
      <w:pPr>
        <w:spacing w:line="240" w:lineRule="auto"/>
        <w:rPr>
          <w:rFonts w:ascii="Arial" w:eastAsia="Times New Roman" w:hAnsi="Arial" w:cs="Arial"/>
          <w:b/>
          <w:bCs/>
          <w:i/>
          <w:sz w:val="20"/>
          <w:szCs w:val="20"/>
          <w:lang w:eastAsia="en-GB"/>
        </w:rPr>
      </w:pPr>
      <w:r w:rsidRPr="0005127A">
        <w:rPr>
          <w:rFonts w:ascii="Arial" w:eastAsia="Times New Roman" w:hAnsi="Arial" w:cs="Arial"/>
          <w:b/>
          <w:bCs/>
          <w:i/>
          <w:sz w:val="20"/>
          <w:szCs w:val="20"/>
          <w:lang w:eastAsia="en-GB"/>
        </w:rPr>
        <w:t>5.6</w:t>
      </w:r>
      <w:r w:rsidRPr="0005127A">
        <w:rPr>
          <w:rFonts w:ascii="Arial" w:eastAsia="Times New Roman" w:hAnsi="Arial" w:cs="Arial"/>
          <w:b/>
          <w:bCs/>
          <w:i/>
          <w:sz w:val="20"/>
          <w:szCs w:val="20"/>
          <w:lang w:eastAsia="en-GB"/>
        </w:rPr>
        <w:tab/>
      </w:r>
      <w:r w:rsidRPr="0005127A">
        <w:rPr>
          <w:rFonts w:ascii="Arial" w:eastAsia="Times New Roman" w:hAnsi="Arial" w:cs="Arial"/>
          <w:b/>
          <w:i/>
          <w:sz w:val="20"/>
          <w:szCs w:val="20"/>
          <w:lang w:eastAsia="en-GB"/>
        </w:rPr>
        <w:t>Thuyết minh về giá trị tài sản ròng (NAV)</w:t>
      </w:r>
    </w:p>
    <w:tbl>
      <w:tblPr>
        <w:tblW w:w="9427" w:type="dxa"/>
        <w:tblInd w:w="108" w:type="dxa"/>
        <w:tblLayout w:type="fixed"/>
        <w:tblLook w:val="04A0"/>
      </w:tblPr>
      <w:tblGrid>
        <w:gridCol w:w="863"/>
        <w:gridCol w:w="1788"/>
        <w:gridCol w:w="1764"/>
        <w:gridCol w:w="1710"/>
        <w:gridCol w:w="1669"/>
        <w:gridCol w:w="1633"/>
      </w:tblGrid>
      <w:tr w:rsidR="00243477" w:rsidRPr="0072496D" w:rsidTr="001139AD">
        <w:trPr>
          <w:trHeight w:val="398"/>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STT</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Kỳ định giá</w:t>
            </w:r>
          </w:p>
        </w:tc>
        <w:tc>
          <w:tcPr>
            <w:tcW w:w="6776" w:type="dxa"/>
            <w:gridSpan w:val="4"/>
            <w:tcBorders>
              <w:top w:val="single" w:sz="4" w:space="0" w:color="auto"/>
              <w:left w:val="nil"/>
              <w:bottom w:val="single" w:sz="4" w:space="0" w:color="auto"/>
              <w:right w:val="single" w:sz="4" w:space="0" w:color="auto"/>
            </w:tcBorders>
            <w:shd w:val="clear" w:color="auto" w:fill="auto"/>
            <w:vAlign w:val="center"/>
            <w:hideMark/>
          </w:tcPr>
          <w:p w:rsidR="00243477" w:rsidRPr="0072496D" w:rsidRDefault="0005127A" w:rsidP="004D0B7A">
            <w:pPr>
              <w:spacing w:before="60" w:after="6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Quý IV/2017</w:t>
            </w:r>
          </w:p>
        </w:tc>
      </w:tr>
      <w:tr w:rsidR="00243477" w:rsidRPr="0072496D" w:rsidTr="001139AD">
        <w:trPr>
          <w:trHeight w:val="660"/>
        </w:trPr>
        <w:tc>
          <w:tcPr>
            <w:tcW w:w="8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3477" w:rsidRPr="0072496D" w:rsidRDefault="00243477" w:rsidP="004D0B7A">
            <w:pPr>
              <w:spacing w:before="60" w:after="60" w:line="240" w:lineRule="auto"/>
              <w:rPr>
                <w:rFonts w:ascii="Arial" w:eastAsia="Times New Roman" w:hAnsi="Arial" w:cs="Arial"/>
                <w:b/>
                <w:bCs/>
                <w:sz w:val="20"/>
                <w:szCs w:val="20"/>
                <w:lang w:eastAsia="en-GB"/>
              </w:rPr>
            </w:pPr>
          </w:p>
        </w:tc>
        <w:tc>
          <w:tcPr>
            <w:tcW w:w="17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3477" w:rsidRPr="0072496D" w:rsidRDefault="00243477" w:rsidP="004D0B7A">
            <w:pPr>
              <w:spacing w:before="60" w:after="60" w:line="240" w:lineRule="auto"/>
              <w:rPr>
                <w:rFonts w:ascii="Arial" w:eastAsia="Times New Roman" w:hAnsi="Arial" w:cs="Arial"/>
                <w:b/>
                <w:bCs/>
                <w:sz w:val="20"/>
                <w:szCs w:val="20"/>
                <w:lang w:eastAsia="en-GB"/>
              </w:rPr>
            </w:pPr>
          </w:p>
        </w:tc>
        <w:tc>
          <w:tcPr>
            <w:tcW w:w="1764"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NAV</w:t>
            </w:r>
          </w:p>
        </w:tc>
        <w:tc>
          <w:tcPr>
            <w:tcW w:w="1710"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Số lượng CCQ</w:t>
            </w:r>
          </w:p>
        </w:tc>
        <w:tc>
          <w:tcPr>
            <w:tcW w:w="1669" w:type="dxa"/>
            <w:tcBorders>
              <w:top w:val="nil"/>
              <w:left w:val="nil"/>
              <w:bottom w:val="single" w:sz="4" w:space="0" w:color="auto"/>
              <w:right w:val="single" w:sz="4" w:space="0" w:color="auto"/>
            </w:tcBorders>
            <w:shd w:val="clear" w:color="auto" w:fill="auto"/>
            <w:vAlign w:val="center"/>
            <w:hideMark/>
          </w:tcPr>
          <w:p w:rsidR="00243477" w:rsidRPr="0072496D" w:rsidRDefault="0005127A" w:rsidP="004D0B7A">
            <w:pPr>
              <w:spacing w:before="60" w:after="6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NAV/1 CCQ tại ngày tính NAV</w:t>
            </w:r>
          </w:p>
        </w:tc>
        <w:tc>
          <w:tcPr>
            <w:tcW w:w="1633" w:type="dxa"/>
            <w:tcBorders>
              <w:top w:val="nil"/>
              <w:left w:val="nil"/>
              <w:bottom w:val="single" w:sz="4" w:space="0" w:color="auto"/>
              <w:right w:val="single" w:sz="4" w:space="0" w:color="auto"/>
            </w:tcBorders>
            <w:shd w:val="clear" w:color="auto" w:fill="auto"/>
            <w:vAlign w:val="center"/>
            <w:hideMark/>
          </w:tcPr>
          <w:p w:rsidR="00243477" w:rsidRPr="0072496D" w:rsidRDefault="0005127A" w:rsidP="004D0B7A">
            <w:pPr>
              <w:spacing w:before="60" w:after="60" w:line="240" w:lineRule="auto"/>
              <w:jc w:val="center"/>
              <w:rPr>
                <w:rFonts w:ascii="Arial" w:eastAsia="Times New Roman" w:hAnsi="Arial" w:cs="Arial"/>
                <w:b/>
                <w:bCs/>
                <w:sz w:val="20"/>
                <w:szCs w:val="20"/>
                <w:lang w:eastAsia="en-GB"/>
              </w:rPr>
            </w:pPr>
            <w:r w:rsidRPr="0005127A">
              <w:rPr>
                <w:rFonts w:ascii="Arial" w:eastAsia="Times New Roman" w:hAnsi="Arial" w:cs="Arial"/>
                <w:b/>
                <w:bCs/>
                <w:sz w:val="20"/>
                <w:szCs w:val="20"/>
                <w:lang w:eastAsia="en-GB"/>
              </w:rPr>
              <w:t>Tăng/giảm NAV/1 CCQ</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03/10/2017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60.115.408.941</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4.783.132,54</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12.568,20</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243477" w:rsidP="004D0B7A">
            <w:pPr>
              <w:spacing w:before="60" w:after="60" w:line="240" w:lineRule="auto"/>
              <w:jc w:val="right"/>
              <w:rPr>
                <w:rFonts w:ascii="Arial" w:eastAsia="Times New Roman" w:hAnsi="Arial" w:cs="Arial"/>
                <w:sz w:val="20"/>
                <w:szCs w:val="20"/>
                <w:lang w:eastAsia="en-GB"/>
              </w:rPr>
            </w:pP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2</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10/10/2017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61.272.011.438</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4.854.362,19</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12.622,05</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53,85</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3</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17/10/2017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64.986.380.191</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5.087.072,42</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12.774,80</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152,75</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4</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24/10/2017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69.343.555.084</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5.499.809,53</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12.608,35</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(166,45)</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5</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31/10/2017</w:t>
            </w:r>
            <w:r w:rsidR="006B2D21" w:rsidRPr="0072496D">
              <w:rPr>
                <w:rFonts w:ascii="Arial" w:eastAsia="Times New Roman" w:hAnsi="Arial" w:cs="Arial"/>
                <w:sz w:val="20"/>
                <w:szCs w:val="20"/>
                <w:lang w:eastAsia="en-GB"/>
              </w:rPr>
              <w:t>(*)</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71.988.560.789</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5.654.485,23</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12.731,23</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122,88</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6</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01/11/2017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71.797.772.043</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5.671.214,72</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12.660,03</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(71,20)</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7</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07/11/2017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72.754.768.774</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5.671.214,72</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12.828,78</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168,75</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8</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14/11/2017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75.825.356.537</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5.693.400,66</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13.318,11</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489,33</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9</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21/11/2017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65.426.980.831</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4.779.279,17</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13.689,71</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371,60</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10</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28/11/2017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64.515.485.341</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4.565.229,39</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14.131,92</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442,21</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11</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6B2D21" w:rsidP="004D0B7A">
            <w:pPr>
              <w:spacing w:before="60" w:after="60" w:line="240" w:lineRule="auto"/>
              <w:jc w:val="center"/>
              <w:rPr>
                <w:rFonts w:ascii="Arial" w:eastAsia="Times New Roman" w:hAnsi="Arial" w:cs="Arial"/>
                <w:sz w:val="20"/>
                <w:szCs w:val="20"/>
                <w:lang w:eastAsia="en-GB"/>
              </w:rPr>
            </w:pPr>
            <w:r w:rsidRPr="0072496D">
              <w:rPr>
                <w:rFonts w:ascii="Arial" w:eastAsia="Times New Roman" w:hAnsi="Arial" w:cs="Arial"/>
                <w:sz w:val="20"/>
                <w:szCs w:val="20"/>
                <w:lang w:eastAsia="en-GB"/>
              </w:rPr>
              <w:t>30/11</w:t>
            </w:r>
            <w:r w:rsidR="0005127A" w:rsidRPr="0005127A">
              <w:rPr>
                <w:rFonts w:ascii="Arial" w:eastAsia="Times New Roman" w:hAnsi="Arial" w:cs="Arial"/>
                <w:sz w:val="20"/>
                <w:szCs w:val="20"/>
                <w:lang w:eastAsia="en-GB"/>
              </w:rPr>
              <w:t>/2017</w:t>
            </w:r>
            <w:r w:rsidRPr="0072496D">
              <w:rPr>
                <w:rFonts w:ascii="Arial" w:eastAsia="Times New Roman" w:hAnsi="Arial" w:cs="Arial"/>
                <w:sz w:val="20"/>
                <w:szCs w:val="20"/>
                <w:lang w:eastAsia="en-GB"/>
              </w:rPr>
              <w:t>(*)</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67.205.001.869</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4.716.413,41</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14.249,17</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117,25</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12</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05/12/2017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69.426.186.619</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4.716.413,41</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14.720,12</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470,95</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13</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12/12/2017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67.372.825.090</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4.817.914,02</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13.983,81</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(736,31)</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14</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19/12/2017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69.486.938.472</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4.728.041,01</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14.696,77</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712,96</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15</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26/12/2017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82.941.257.579</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5.537.080,33</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14.979,24</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282,47</w:t>
            </w:r>
          </w:p>
        </w:tc>
      </w:tr>
      <w:tr w:rsidR="00243477" w:rsidRPr="0072496D" w:rsidTr="001139AD">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center"/>
              <w:rPr>
                <w:rFonts w:ascii="Arial" w:eastAsia="Times New Roman" w:hAnsi="Arial" w:cs="Arial"/>
                <w:sz w:val="20"/>
                <w:szCs w:val="20"/>
                <w:lang w:eastAsia="en-GB"/>
              </w:rPr>
            </w:pPr>
            <w:r w:rsidRPr="0005127A">
              <w:rPr>
                <w:rFonts w:ascii="Arial" w:eastAsia="Times New Roman" w:hAnsi="Arial" w:cs="Arial"/>
                <w:sz w:val="20"/>
                <w:szCs w:val="20"/>
                <w:lang w:eastAsia="en-GB"/>
              </w:rPr>
              <w:t>16</w:t>
            </w:r>
          </w:p>
        </w:tc>
        <w:tc>
          <w:tcPr>
            <w:tcW w:w="1788" w:type="dxa"/>
            <w:tcBorders>
              <w:top w:val="nil"/>
              <w:left w:val="nil"/>
              <w:bottom w:val="single" w:sz="4" w:space="0" w:color="auto"/>
              <w:right w:val="single" w:sz="4" w:space="0" w:color="auto"/>
            </w:tcBorders>
            <w:shd w:val="clear" w:color="auto" w:fill="auto"/>
            <w:noWrap/>
            <w:vAlign w:val="center"/>
            <w:hideMark/>
          </w:tcPr>
          <w:p w:rsidR="00243477" w:rsidRPr="0072496D" w:rsidRDefault="006B2D21" w:rsidP="004D0B7A">
            <w:pPr>
              <w:spacing w:before="60" w:after="60" w:line="240" w:lineRule="auto"/>
              <w:jc w:val="center"/>
              <w:rPr>
                <w:rFonts w:ascii="Arial" w:eastAsia="Times New Roman" w:hAnsi="Arial" w:cs="Arial"/>
                <w:sz w:val="20"/>
                <w:szCs w:val="20"/>
                <w:lang w:eastAsia="en-GB"/>
              </w:rPr>
            </w:pPr>
            <w:r w:rsidRPr="0072496D">
              <w:rPr>
                <w:rFonts w:ascii="Arial" w:eastAsia="Times New Roman" w:hAnsi="Arial" w:cs="Arial"/>
                <w:sz w:val="20"/>
                <w:szCs w:val="20"/>
                <w:lang w:eastAsia="en-GB"/>
              </w:rPr>
              <w:t>31/</w:t>
            </w:r>
            <w:r w:rsidR="0005127A" w:rsidRPr="0005127A">
              <w:rPr>
                <w:rFonts w:ascii="Arial" w:eastAsia="Times New Roman" w:hAnsi="Arial" w:cs="Arial"/>
                <w:sz w:val="20"/>
                <w:szCs w:val="20"/>
                <w:lang w:eastAsia="en-GB"/>
              </w:rPr>
              <w:t>1</w:t>
            </w:r>
            <w:r w:rsidRPr="0072496D">
              <w:rPr>
                <w:rFonts w:ascii="Arial" w:eastAsia="Times New Roman" w:hAnsi="Arial" w:cs="Arial"/>
                <w:sz w:val="20"/>
                <w:szCs w:val="20"/>
                <w:lang w:eastAsia="en-GB"/>
              </w:rPr>
              <w:t>2</w:t>
            </w:r>
            <w:r w:rsidR="0005127A" w:rsidRPr="0005127A">
              <w:rPr>
                <w:rFonts w:ascii="Arial" w:eastAsia="Times New Roman" w:hAnsi="Arial" w:cs="Arial"/>
                <w:sz w:val="20"/>
                <w:szCs w:val="20"/>
                <w:lang w:eastAsia="en-GB"/>
              </w:rPr>
              <w:t>/201</w:t>
            </w:r>
            <w:r w:rsidRPr="0072496D">
              <w:rPr>
                <w:rFonts w:ascii="Arial" w:eastAsia="Times New Roman" w:hAnsi="Arial" w:cs="Arial"/>
                <w:sz w:val="20"/>
                <w:szCs w:val="20"/>
                <w:lang w:eastAsia="en-GB"/>
              </w:rPr>
              <w:t>7(*)</w:t>
            </w:r>
          </w:p>
        </w:tc>
        <w:tc>
          <w:tcPr>
            <w:tcW w:w="1764"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97.706.358.825</w:t>
            </w:r>
          </w:p>
        </w:tc>
        <w:tc>
          <w:tcPr>
            <w:tcW w:w="1710"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6.331.728,53</w:t>
            </w:r>
          </w:p>
        </w:tc>
        <w:tc>
          <w:tcPr>
            <w:tcW w:w="1669"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15.431,22</w:t>
            </w:r>
          </w:p>
        </w:tc>
        <w:tc>
          <w:tcPr>
            <w:tcW w:w="1633" w:type="dxa"/>
            <w:tcBorders>
              <w:top w:val="nil"/>
              <w:left w:val="nil"/>
              <w:bottom w:val="single" w:sz="4" w:space="0" w:color="auto"/>
              <w:right w:val="single" w:sz="4" w:space="0" w:color="auto"/>
            </w:tcBorders>
            <w:shd w:val="clear" w:color="auto" w:fill="auto"/>
            <w:noWrap/>
            <w:vAlign w:val="bottom"/>
            <w:hideMark/>
          </w:tcPr>
          <w:p w:rsidR="00243477" w:rsidRPr="0072496D" w:rsidRDefault="0005127A" w:rsidP="004D0B7A">
            <w:pPr>
              <w:spacing w:before="60" w:after="60" w:line="240" w:lineRule="auto"/>
              <w:jc w:val="right"/>
              <w:rPr>
                <w:rFonts w:ascii="Arial" w:eastAsia="Times New Roman" w:hAnsi="Arial" w:cs="Arial"/>
                <w:sz w:val="20"/>
                <w:szCs w:val="20"/>
                <w:lang w:eastAsia="en-GB"/>
              </w:rPr>
            </w:pPr>
            <w:r w:rsidRPr="0005127A">
              <w:rPr>
                <w:rFonts w:ascii="Arial" w:eastAsia="Times New Roman" w:hAnsi="Arial" w:cs="Arial"/>
                <w:sz w:val="20"/>
                <w:szCs w:val="20"/>
                <w:lang w:eastAsia="en-GB"/>
              </w:rPr>
              <w:t>451,98</w:t>
            </w:r>
          </w:p>
        </w:tc>
      </w:tr>
    </w:tbl>
    <w:p w:rsidR="0054356C" w:rsidRPr="004723EE" w:rsidRDefault="006B2D21" w:rsidP="004D25FA">
      <w:pPr>
        <w:spacing w:before="240" w:after="120" w:line="360" w:lineRule="auto"/>
        <w:jc w:val="both"/>
        <w:rPr>
          <w:rFonts w:ascii="Arial" w:eastAsia="Times New Roman" w:hAnsi="Arial" w:cs="Arial"/>
          <w:bCs/>
          <w:i/>
          <w:sz w:val="20"/>
          <w:szCs w:val="20"/>
          <w:lang w:eastAsia="en-GB"/>
        </w:rPr>
      </w:pPr>
      <w:r w:rsidRPr="0072496D">
        <w:rPr>
          <w:rFonts w:ascii="Arial" w:eastAsia="Times New Roman" w:hAnsi="Arial" w:cs="Arial"/>
          <w:bCs/>
          <w:i/>
          <w:sz w:val="20"/>
          <w:szCs w:val="20"/>
          <w:lang w:val="vi-VN" w:eastAsia="en-GB"/>
        </w:rPr>
        <w:t xml:space="preserve">(*) Tại </w:t>
      </w:r>
      <w:r w:rsidR="004723EE">
        <w:rPr>
          <w:rFonts w:ascii="Arial" w:eastAsia="Times New Roman" w:hAnsi="Arial" w:cs="Arial"/>
          <w:bCs/>
          <w:i/>
          <w:sz w:val="20"/>
          <w:szCs w:val="20"/>
          <w:lang w:eastAsia="en-GB"/>
        </w:rPr>
        <w:t>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8"/>
        <w:gridCol w:w="990"/>
        <w:gridCol w:w="1631"/>
      </w:tblGrid>
      <w:tr w:rsidR="004D0B7A" w:rsidRPr="0072496D" w:rsidTr="004844E3">
        <w:trPr>
          <w:trHeight w:val="373"/>
        </w:trPr>
        <w:tc>
          <w:tcPr>
            <w:tcW w:w="6858" w:type="dxa"/>
          </w:tcPr>
          <w:p w:rsidR="004D0B7A" w:rsidRPr="0072496D" w:rsidRDefault="0005127A" w:rsidP="004844E3">
            <w:pPr>
              <w:spacing w:before="120" w:after="200" w:line="240" w:lineRule="auto"/>
              <w:jc w:val="both"/>
              <w:rPr>
                <w:rFonts w:ascii="Arial" w:eastAsia="Times New Roman" w:hAnsi="Arial" w:cs="Arial"/>
                <w:b/>
                <w:bCs/>
                <w:i/>
                <w:sz w:val="20"/>
                <w:szCs w:val="20"/>
                <w:lang w:eastAsia="en-GB"/>
              </w:rPr>
            </w:pPr>
            <w:r w:rsidRPr="0005127A">
              <w:rPr>
                <w:rFonts w:ascii="Arial" w:eastAsia="Times New Roman" w:hAnsi="Arial" w:cs="Arial"/>
                <w:b/>
                <w:bCs/>
                <w:sz w:val="20"/>
                <w:szCs w:val="20"/>
                <w:lang w:eastAsia="en-GB"/>
              </w:rPr>
              <w:t>NAV bình quân trong Quý IV 2017</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Borders>
              <w:bottom w:val="single" w:sz="4" w:space="0" w:color="auto"/>
            </w:tcBorders>
          </w:tcPr>
          <w:p w:rsidR="004D0B7A" w:rsidRPr="0072496D" w:rsidRDefault="0005127A" w:rsidP="004844E3">
            <w:pPr>
              <w:spacing w:before="120" w:after="200" w:line="240" w:lineRule="auto"/>
              <w:jc w:val="right"/>
              <w:rPr>
                <w:rFonts w:ascii="Arial" w:eastAsia="Times New Roman" w:hAnsi="Arial" w:cs="Arial"/>
                <w:b/>
                <w:bCs/>
                <w:i/>
                <w:sz w:val="20"/>
                <w:szCs w:val="20"/>
                <w:lang w:eastAsia="en-GB"/>
              </w:rPr>
            </w:pPr>
            <w:r w:rsidRPr="0005127A">
              <w:rPr>
                <w:rFonts w:ascii="Arial" w:eastAsia="Times New Roman" w:hAnsi="Arial" w:cs="Arial"/>
                <w:b/>
                <w:bCs/>
                <w:sz w:val="20"/>
                <w:szCs w:val="20"/>
                <w:lang w:eastAsia="en-GB"/>
              </w:rPr>
              <w:t>70.760.303.026</w:t>
            </w:r>
          </w:p>
        </w:tc>
      </w:tr>
      <w:tr w:rsidR="004D0B7A" w:rsidRPr="0072496D" w:rsidTr="004D0B7A">
        <w:trPr>
          <w:trHeight w:val="373"/>
        </w:trPr>
        <w:tc>
          <w:tcPr>
            <w:tcW w:w="6858" w:type="dxa"/>
          </w:tcPr>
          <w:p w:rsidR="004D0B7A" w:rsidRPr="0072496D" w:rsidRDefault="0005127A" w:rsidP="004844E3">
            <w:pPr>
              <w:spacing w:before="120" w:after="200" w:line="240" w:lineRule="auto"/>
              <w:jc w:val="both"/>
              <w:rPr>
                <w:rFonts w:ascii="Arial" w:eastAsia="Times New Roman" w:hAnsi="Arial" w:cs="Arial"/>
                <w:bCs/>
                <w:sz w:val="20"/>
                <w:szCs w:val="20"/>
                <w:lang w:eastAsia="en-GB"/>
              </w:rPr>
            </w:pPr>
            <w:r w:rsidRPr="0005127A">
              <w:rPr>
                <w:rFonts w:ascii="Arial" w:eastAsia="Times New Roman" w:hAnsi="Arial" w:cs="Arial"/>
                <w:bCs/>
                <w:sz w:val="20"/>
                <w:szCs w:val="20"/>
                <w:lang w:eastAsia="en-GB"/>
              </w:rPr>
              <w:t xml:space="preserve">Biến động NAV/CCQ trong quý thấp nhất                                                                                           </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Borders>
              <w:top w:val="single" w:sz="4" w:space="0" w:color="auto"/>
              <w:bottom w:val="single" w:sz="4" w:space="0" w:color="auto"/>
            </w:tcBorders>
          </w:tcPr>
          <w:p w:rsidR="004D0B7A" w:rsidRPr="0072496D" w:rsidRDefault="0005127A" w:rsidP="004844E3">
            <w:pPr>
              <w:spacing w:before="120" w:after="200" w:line="240" w:lineRule="auto"/>
              <w:jc w:val="right"/>
              <w:rPr>
                <w:rFonts w:ascii="Arial" w:eastAsia="Times New Roman" w:hAnsi="Arial" w:cs="Arial"/>
                <w:b/>
                <w:bCs/>
                <w:i/>
                <w:sz w:val="20"/>
                <w:szCs w:val="20"/>
                <w:lang w:eastAsia="en-GB"/>
              </w:rPr>
            </w:pPr>
            <w:r w:rsidRPr="0005127A">
              <w:rPr>
                <w:rFonts w:ascii="Arial" w:eastAsia="Times New Roman" w:hAnsi="Arial" w:cs="Arial"/>
                <w:bCs/>
                <w:sz w:val="20"/>
                <w:szCs w:val="20"/>
                <w:lang w:eastAsia="en-GB"/>
              </w:rPr>
              <w:t>53,85</w:t>
            </w:r>
          </w:p>
        </w:tc>
      </w:tr>
      <w:tr w:rsidR="004D0B7A" w:rsidRPr="0072496D" w:rsidTr="004D0B7A">
        <w:trPr>
          <w:trHeight w:val="373"/>
        </w:trPr>
        <w:tc>
          <w:tcPr>
            <w:tcW w:w="6858" w:type="dxa"/>
          </w:tcPr>
          <w:p w:rsidR="004D0B7A" w:rsidRPr="0072496D" w:rsidRDefault="0005127A" w:rsidP="004844E3">
            <w:pPr>
              <w:spacing w:before="120" w:after="200" w:line="240" w:lineRule="auto"/>
              <w:jc w:val="both"/>
              <w:rPr>
                <w:rFonts w:ascii="Arial" w:eastAsia="Times New Roman" w:hAnsi="Arial" w:cs="Arial"/>
                <w:b/>
                <w:bCs/>
                <w:i/>
                <w:sz w:val="20"/>
                <w:szCs w:val="20"/>
                <w:lang w:eastAsia="en-GB"/>
              </w:rPr>
            </w:pPr>
            <w:r w:rsidRPr="0005127A">
              <w:rPr>
                <w:rFonts w:ascii="Arial" w:eastAsia="Times New Roman" w:hAnsi="Arial" w:cs="Arial"/>
                <w:sz w:val="20"/>
                <w:szCs w:val="20"/>
                <w:lang w:eastAsia="en-GB"/>
              </w:rPr>
              <w:t xml:space="preserve">Biến động NAV/CCQ trong quý cao nhất                                    </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Borders>
              <w:top w:val="single" w:sz="4" w:space="0" w:color="auto"/>
              <w:bottom w:val="single" w:sz="4" w:space="0" w:color="auto"/>
            </w:tcBorders>
          </w:tcPr>
          <w:p w:rsidR="004D0B7A" w:rsidRPr="0072496D" w:rsidRDefault="0005127A" w:rsidP="004844E3">
            <w:pPr>
              <w:spacing w:before="120" w:after="200" w:line="240" w:lineRule="auto"/>
              <w:jc w:val="right"/>
              <w:rPr>
                <w:rFonts w:ascii="Arial" w:eastAsia="Times New Roman" w:hAnsi="Arial" w:cs="Arial"/>
                <w:b/>
                <w:bCs/>
                <w:i/>
                <w:sz w:val="20"/>
                <w:szCs w:val="20"/>
                <w:lang w:eastAsia="en-GB"/>
              </w:rPr>
            </w:pPr>
            <w:r w:rsidRPr="0005127A">
              <w:rPr>
                <w:rFonts w:ascii="Arial" w:eastAsia="Times New Roman" w:hAnsi="Arial" w:cs="Arial"/>
                <w:bCs/>
                <w:sz w:val="20"/>
                <w:szCs w:val="20"/>
                <w:lang w:val="en-GB" w:eastAsia="en-GB"/>
              </w:rPr>
              <w:t>(736,31)</w:t>
            </w:r>
          </w:p>
        </w:tc>
      </w:tr>
    </w:tbl>
    <w:p w:rsidR="004D0B7A" w:rsidRDefault="004D0B7A" w:rsidP="004D25FA">
      <w:pPr>
        <w:spacing w:before="240" w:after="120" w:line="360" w:lineRule="auto"/>
        <w:jc w:val="both"/>
        <w:rPr>
          <w:rFonts w:ascii="Arial" w:eastAsia="Times New Roman" w:hAnsi="Arial" w:cs="Arial"/>
          <w:b/>
          <w:bCs/>
          <w:i/>
          <w:sz w:val="20"/>
          <w:szCs w:val="20"/>
          <w:lang w:eastAsia="en-GB"/>
        </w:rPr>
      </w:pPr>
    </w:p>
    <w:p w:rsidR="00CB3BFE" w:rsidRDefault="00CB3BFE" w:rsidP="004D25FA">
      <w:pPr>
        <w:spacing w:before="240" w:after="120" w:line="360" w:lineRule="auto"/>
        <w:jc w:val="both"/>
        <w:rPr>
          <w:rFonts w:ascii="Arial" w:eastAsia="Times New Roman" w:hAnsi="Arial" w:cs="Arial"/>
          <w:b/>
          <w:bCs/>
          <w:i/>
          <w:sz w:val="20"/>
          <w:szCs w:val="20"/>
          <w:lang w:eastAsia="en-GB"/>
        </w:rPr>
      </w:pPr>
    </w:p>
    <w:p w:rsidR="00CB3BFE" w:rsidRPr="0072496D" w:rsidRDefault="00CB3BFE" w:rsidP="004D25FA">
      <w:pPr>
        <w:spacing w:before="240" w:after="120" w:line="360" w:lineRule="auto"/>
        <w:jc w:val="both"/>
        <w:rPr>
          <w:rFonts w:ascii="Arial" w:eastAsia="Times New Roman" w:hAnsi="Arial" w:cs="Arial"/>
          <w:b/>
          <w:bCs/>
          <w:i/>
          <w:sz w:val="20"/>
          <w:szCs w:val="20"/>
          <w:lang w:eastAsia="en-GB"/>
        </w:rPr>
      </w:pPr>
    </w:p>
    <w:p w:rsidR="0054356C" w:rsidRPr="0072496D" w:rsidRDefault="0005127A" w:rsidP="00484381">
      <w:pPr>
        <w:spacing w:line="240" w:lineRule="auto"/>
        <w:rPr>
          <w:rFonts w:ascii="Arial" w:eastAsia="Times New Roman" w:hAnsi="Arial" w:cs="Arial"/>
          <w:b/>
          <w:bCs/>
          <w:i/>
          <w:sz w:val="20"/>
          <w:szCs w:val="20"/>
          <w:lang w:eastAsia="en-GB"/>
        </w:rPr>
      </w:pPr>
      <w:r w:rsidRPr="0005127A">
        <w:rPr>
          <w:rFonts w:ascii="Arial" w:eastAsia="Times New Roman" w:hAnsi="Arial" w:cs="Arial"/>
          <w:b/>
          <w:bCs/>
          <w:i/>
          <w:sz w:val="20"/>
          <w:szCs w:val="20"/>
          <w:lang w:eastAsia="en-GB"/>
        </w:rPr>
        <w:lastRenderedPageBreak/>
        <w:t>5.7</w:t>
      </w:r>
      <w:r w:rsidRPr="0005127A">
        <w:rPr>
          <w:rFonts w:ascii="Arial" w:eastAsia="Times New Roman" w:hAnsi="Arial" w:cs="Arial"/>
          <w:b/>
          <w:bCs/>
          <w:i/>
          <w:sz w:val="20"/>
          <w:szCs w:val="20"/>
          <w:lang w:eastAsia="en-GB"/>
        </w:rPr>
        <w:tab/>
        <w:t>Lợi nhuận chưa phân phối</w:t>
      </w:r>
    </w:p>
    <w:tbl>
      <w:tblPr>
        <w:tblW w:w="5000" w:type="pct"/>
        <w:tblLook w:val="04A0"/>
      </w:tblPr>
      <w:tblGrid>
        <w:gridCol w:w="2957"/>
        <w:gridCol w:w="2228"/>
        <w:gridCol w:w="1997"/>
        <w:gridCol w:w="2348"/>
      </w:tblGrid>
      <w:tr w:rsidR="00F069A6" w:rsidRPr="0072496D" w:rsidTr="00045A11">
        <w:trPr>
          <w:trHeight w:val="855"/>
        </w:trPr>
        <w:tc>
          <w:tcPr>
            <w:tcW w:w="1551" w:type="pct"/>
            <w:shd w:val="clear" w:color="auto" w:fill="auto"/>
            <w:hideMark/>
          </w:tcPr>
          <w:p w:rsidR="00F069A6" w:rsidRPr="0072496D" w:rsidRDefault="00F069A6" w:rsidP="003D4B3C">
            <w:pPr>
              <w:spacing w:after="0" w:line="240" w:lineRule="auto"/>
              <w:jc w:val="both"/>
              <w:rPr>
                <w:rFonts w:ascii="Arial" w:eastAsia="Times New Roman" w:hAnsi="Arial" w:cs="Arial"/>
                <w:b/>
                <w:bCs/>
                <w:sz w:val="20"/>
                <w:szCs w:val="20"/>
                <w:lang w:val="en-GB" w:eastAsia="en-GB"/>
              </w:rPr>
            </w:pPr>
          </w:p>
        </w:tc>
        <w:tc>
          <w:tcPr>
            <w:tcW w:w="1169" w:type="pct"/>
          </w:tcPr>
          <w:p w:rsidR="00D314D4" w:rsidRPr="0072496D" w:rsidRDefault="0005127A"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05127A">
              <w:rPr>
                <w:rFonts w:ascii="Arial" w:eastAsia="Times New Roman" w:hAnsi="Arial" w:cs="Arial"/>
                <w:b/>
                <w:bCs/>
                <w:sz w:val="20"/>
                <w:szCs w:val="20"/>
                <w:lang w:val="en-GB" w:eastAsia="en-GB"/>
              </w:rPr>
              <w:t>Tại ngày 30/09/2017</w:t>
            </w:r>
            <w:r w:rsidRPr="0005127A">
              <w:rPr>
                <w:rFonts w:ascii="Arial" w:eastAsia="Times New Roman" w:hAnsi="Arial" w:cs="Arial"/>
                <w:b/>
                <w:bCs/>
                <w:sz w:val="20"/>
                <w:szCs w:val="20"/>
                <w:lang w:val="en-GB" w:eastAsia="en-GB"/>
              </w:rPr>
              <w:br/>
            </w:r>
          </w:p>
          <w:p w:rsidR="00F069A6" w:rsidRPr="0072496D" w:rsidRDefault="0005127A" w:rsidP="00D314D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05127A">
              <w:rPr>
                <w:rFonts w:ascii="Arial" w:eastAsia="Times New Roman" w:hAnsi="Arial" w:cs="Arial"/>
                <w:b/>
                <w:bCs/>
                <w:sz w:val="20"/>
                <w:szCs w:val="20"/>
                <w:lang w:val="en-GB" w:eastAsia="en-GB"/>
              </w:rPr>
              <w:t>VND</w:t>
            </w:r>
          </w:p>
        </w:tc>
        <w:tc>
          <w:tcPr>
            <w:tcW w:w="1048" w:type="pct"/>
          </w:tcPr>
          <w:p w:rsidR="00D314D4" w:rsidRPr="0072496D" w:rsidRDefault="0005127A"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05127A">
              <w:rPr>
                <w:rFonts w:ascii="Arial" w:eastAsia="Times New Roman" w:hAnsi="Arial" w:cs="Arial"/>
                <w:b/>
                <w:bCs/>
                <w:sz w:val="20"/>
                <w:szCs w:val="20"/>
                <w:lang w:val="en-GB" w:eastAsia="en-GB"/>
              </w:rPr>
              <w:t>Phát sinh trong kỳ</w:t>
            </w:r>
          </w:p>
          <w:p w:rsidR="00D314D4" w:rsidRPr="0072496D" w:rsidRDefault="00D314D4"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F069A6" w:rsidRPr="0072496D" w:rsidRDefault="0005127A"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05127A">
              <w:rPr>
                <w:rFonts w:ascii="Arial" w:eastAsia="Times New Roman" w:hAnsi="Arial" w:cs="Arial"/>
                <w:b/>
                <w:bCs/>
                <w:sz w:val="20"/>
                <w:szCs w:val="20"/>
                <w:lang w:val="en-GB" w:eastAsia="en-GB"/>
              </w:rPr>
              <w:t>VND</w:t>
            </w:r>
          </w:p>
        </w:tc>
        <w:tc>
          <w:tcPr>
            <w:tcW w:w="1232" w:type="pct"/>
            <w:shd w:val="clear" w:color="auto" w:fill="auto"/>
            <w:hideMark/>
          </w:tcPr>
          <w:p w:rsidR="00D314D4" w:rsidRPr="0072496D" w:rsidRDefault="0005127A"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05127A">
              <w:rPr>
                <w:rFonts w:ascii="Arial" w:eastAsia="Times New Roman" w:hAnsi="Arial" w:cs="Arial"/>
                <w:b/>
                <w:bCs/>
                <w:sz w:val="20"/>
                <w:szCs w:val="20"/>
                <w:lang w:val="en-GB" w:eastAsia="en-GB"/>
              </w:rPr>
              <w:t>Tại ngày 31/12/2017</w:t>
            </w:r>
            <w:r w:rsidRPr="0005127A">
              <w:rPr>
                <w:rFonts w:ascii="Arial" w:eastAsia="Times New Roman" w:hAnsi="Arial" w:cs="Arial"/>
                <w:b/>
                <w:bCs/>
                <w:sz w:val="20"/>
                <w:szCs w:val="20"/>
                <w:lang w:val="en-GB" w:eastAsia="en-GB"/>
              </w:rPr>
              <w:br/>
            </w:r>
          </w:p>
          <w:p w:rsidR="00F069A6" w:rsidRPr="0072496D" w:rsidRDefault="0005127A"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05127A">
              <w:rPr>
                <w:rFonts w:ascii="Arial" w:eastAsia="Times New Roman" w:hAnsi="Arial" w:cs="Arial"/>
                <w:b/>
                <w:bCs/>
                <w:sz w:val="20"/>
                <w:szCs w:val="20"/>
                <w:lang w:val="en-GB" w:eastAsia="en-GB"/>
              </w:rPr>
              <w:t>VND</w:t>
            </w:r>
          </w:p>
        </w:tc>
      </w:tr>
      <w:tr w:rsidR="004D51D2" w:rsidRPr="0072496D" w:rsidTr="00045A11">
        <w:trPr>
          <w:trHeight w:val="547"/>
        </w:trPr>
        <w:tc>
          <w:tcPr>
            <w:tcW w:w="1551" w:type="pct"/>
            <w:shd w:val="clear" w:color="auto" w:fill="auto"/>
            <w:vAlign w:val="center"/>
            <w:hideMark/>
          </w:tcPr>
          <w:p w:rsidR="004D51D2" w:rsidRPr="0072496D" w:rsidRDefault="0005127A" w:rsidP="004D25FA">
            <w:pPr>
              <w:spacing w:after="0" w:line="240" w:lineRule="auto"/>
              <w:rPr>
                <w:rFonts w:ascii="Arial" w:eastAsia="Times New Roman" w:hAnsi="Arial" w:cs="Arial"/>
                <w:sz w:val="20"/>
                <w:szCs w:val="20"/>
                <w:lang w:val="en-GB" w:eastAsia="en-GB"/>
              </w:rPr>
            </w:pPr>
            <w:r w:rsidRPr="0005127A">
              <w:rPr>
                <w:rFonts w:ascii="Arial" w:eastAsia="Times New Roman" w:hAnsi="Arial" w:cs="Arial"/>
                <w:sz w:val="20"/>
                <w:szCs w:val="20"/>
                <w:lang w:val="en-GB" w:eastAsia="en-GB"/>
              </w:rPr>
              <w:t>Lãi /(Lỗ) đã thực hiện</w:t>
            </w:r>
          </w:p>
        </w:tc>
        <w:tc>
          <w:tcPr>
            <w:tcW w:w="1169" w:type="pct"/>
            <w:vAlign w:val="bottom"/>
          </w:tcPr>
          <w:p w:rsidR="004D51D2" w:rsidRPr="0072496D" w:rsidRDefault="0005127A" w:rsidP="00BE23FD">
            <w:pPr>
              <w:spacing w:after="0" w:line="240" w:lineRule="auto"/>
              <w:jc w:val="right"/>
              <w:rPr>
                <w:rFonts w:ascii="Arial" w:eastAsia="Times New Roman" w:hAnsi="Arial" w:cs="Arial"/>
                <w:sz w:val="20"/>
                <w:szCs w:val="20"/>
                <w:lang w:val="en-GB" w:eastAsia="en-GB"/>
              </w:rPr>
            </w:pPr>
            <w:r w:rsidRPr="0005127A">
              <w:rPr>
                <w:rFonts w:ascii="Arial" w:eastAsia="Times New Roman" w:hAnsi="Arial" w:cs="Arial"/>
                <w:sz w:val="20"/>
                <w:szCs w:val="20"/>
                <w:lang w:val="en-GB" w:eastAsia="en-GB"/>
              </w:rPr>
              <w:t>7.071.410.584</w:t>
            </w:r>
          </w:p>
        </w:tc>
        <w:tc>
          <w:tcPr>
            <w:tcW w:w="1048" w:type="pct"/>
            <w:vAlign w:val="bottom"/>
          </w:tcPr>
          <w:p w:rsidR="004D51D2" w:rsidRPr="0072496D" w:rsidRDefault="0005127A" w:rsidP="00F14AE2">
            <w:pPr>
              <w:spacing w:after="0" w:line="240" w:lineRule="auto"/>
              <w:jc w:val="right"/>
              <w:rPr>
                <w:rFonts w:ascii="Arial" w:eastAsia="Times New Roman" w:hAnsi="Arial" w:cs="Arial"/>
                <w:sz w:val="20"/>
                <w:szCs w:val="20"/>
                <w:lang w:val="en-GB" w:eastAsia="en-GB"/>
              </w:rPr>
            </w:pPr>
            <w:r w:rsidRPr="0005127A">
              <w:rPr>
                <w:rFonts w:ascii="Arial" w:eastAsia="Times New Roman" w:hAnsi="Arial" w:cs="Arial"/>
                <w:sz w:val="20"/>
                <w:szCs w:val="20"/>
                <w:lang w:val="en-GB" w:eastAsia="en-GB"/>
              </w:rPr>
              <w:t>6.024.158.034</w:t>
            </w:r>
          </w:p>
        </w:tc>
        <w:tc>
          <w:tcPr>
            <w:tcW w:w="1232" w:type="pct"/>
            <w:shd w:val="clear" w:color="auto" w:fill="auto"/>
            <w:noWrap/>
            <w:vAlign w:val="bottom"/>
            <w:hideMark/>
          </w:tcPr>
          <w:p w:rsidR="004D51D2" w:rsidRPr="0072496D" w:rsidRDefault="0005127A" w:rsidP="00F14AE2">
            <w:pPr>
              <w:spacing w:after="0" w:line="240" w:lineRule="auto"/>
              <w:jc w:val="right"/>
              <w:rPr>
                <w:rFonts w:ascii="Arial" w:eastAsia="Times New Roman" w:hAnsi="Arial" w:cs="Arial"/>
                <w:sz w:val="20"/>
                <w:szCs w:val="20"/>
                <w:lang w:val="en-GB" w:eastAsia="en-GB"/>
              </w:rPr>
            </w:pPr>
            <w:r w:rsidRPr="0005127A">
              <w:rPr>
                <w:rFonts w:ascii="Arial" w:eastAsia="Times New Roman" w:hAnsi="Arial" w:cs="Arial"/>
                <w:sz w:val="20"/>
                <w:szCs w:val="20"/>
                <w:lang w:eastAsia="en-GB"/>
              </w:rPr>
              <w:t>13.095.568.618</w:t>
            </w:r>
          </w:p>
        </w:tc>
      </w:tr>
      <w:tr w:rsidR="004D51D2" w:rsidRPr="0072496D" w:rsidTr="00045A11">
        <w:trPr>
          <w:trHeight w:val="553"/>
        </w:trPr>
        <w:tc>
          <w:tcPr>
            <w:tcW w:w="1551" w:type="pct"/>
            <w:shd w:val="clear" w:color="auto" w:fill="auto"/>
            <w:vAlign w:val="center"/>
            <w:hideMark/>
          </w:tcPr>
          <w:p w:rsidR="004D51D2" w:rsidRPr="0072496D" w:rsidRDefault="0005127A" w:rsidP="004D25FA">
            <w:pPr>
              <w:spacing w:after="0" w:line="240" w:lineRule="auto"/>
              <w:rPr>
                <w:rFonts w:ascii="Arial" w:eastAsia="Times New Roman" w:hAnsi="Arial" w:cs="Arial"/>
                <w:sz w:val="20"/>
                <w:szCs w:val="20"/>
                <w:lang w:val="en-GB" w:eastAsia="en-GB"/>
              </w:rPr>
            </w:pPr>
            <w:r w:rsidRPr="0005127A">
              <w:rPr>
                <w:rFonts w:ascii="Arial" w:eastAsia="Times New Roman" w:hAnsi="Arial" w:cs="Arial"/>
                <w:sz w:val="20"/>
                <w:szCs w:val="20"/>
                <w:lang w:val="en-GB" w:eastAsia="en-GB"/>
              </w:rPr>
              <w:t>Lãi/(Lỗ) chưa thực hiện</w:t>
            </w:r>
          </w:p>
        </w:tc>
        <w:tc>
          <w:tcPr>
            <w:tcW w:w="1169" w:type="pct"/>
            <w:vAlign w:val="bottom"/>
          </w:tcPr>
          <w:p w:rsidR="004D51D2" w:rsidRPr="0072496D" w:rsidRDefault="0005127A" w:rsidP="00BE23FD">
            <w:pPr>
              <w:spacing w:after="0" w:line="240" w:lineRule="auto"/>
              <w:jc w:val="right"/>
              <w:rPr>
                <w:rFonts w:ascii="Arial" w:eastAsia="Times New Roman" w:hAnsi="Arial" w:cs="Arial"/>
                <w:sz w:val="20"/>
                <w:szCs w:val="20"/>
                <w:lang w:val="en-GB" w:eastAsia="en-GB"/>
              </w:rPr>
            </w:pPr>
            <w:r w:rsidRPr="0005127A">
              <w:rPr>
                <w:rFonts w:ascii="Arial" w:eastAsia="Times New Roman" w:hAnsi="Arial" w:cs="Arial"/>
                <w:sz w:val="20"/>
                <w:szCs w:val="20"/>
                <w:lang w:val="en-GB" w:eastAsia="en-GB"/>
              </w:rPr>
              <w:t>4.915.866.504</w:t>
            </w:r>
          </w:p>
        </w:tc>
        <w:tc>
          <w:tcPr>
            <w:tcW w:w="1048" w:type="pct"/>
            <w:vAlign w:val="bottom"/>
          </w:tcPr>
          <w:p w:rsidR="004D51D2" w:rsidRPr="0072496D" w:rsidRDefault="0005127A" w:rsidP="00F14AE2">
            <w:pPr>
              <w:spacing w:after="0" w:line="240" w:lineRule="auto"/>
              <w:jc w:val="right"/>
              <w:rPr>
                <w:rFonts w:ascii="Arial" w:eastAsia="Times New Roman" w:hAnsi="Arial" w:cs="Arial"/>
                <w:sz w:val="20"/>
                <w:szCs w:val="20"/>
                <w:lang w:val="en-GB" w:eastAsia="en-GB"/>
              </w:rPr>
            </w:pPr>
            <w:r w:rsidRPr="0005127A">
              <w:rPr>
                <w:rFonts w:ascii="Arial" w:eastAsia="Times New Roman" w:hAnsi="Arial" w:cs="Arial"/>
                <w:sz w:val="20"/>
                <w:szCs w:val="20"/>
                <w:lang w:val="en-GB" w:eastAsia="en-GB"/>
              </w:rPr>
              <w:t>8.671.812.660</w:t>
            </w:r>
          </w:p>
        </w:tc>
        <w:tc>
          <w:tcPr>
            <w:tcW w:w="1232" w:type="pct"/>
            <w:shd w:val="clear" w:color="auto" w:fill="auto"/>
            <w:noWrap/>
            <w:vAlign w:val="bottom"/>
            <w:hideMark/>
          </w:tcPr>
          <w:p w:rsidR="004D51D2" w:rsidRPr="0072496D" w:rsidRDefault="0005127A" w:rsidP="00F14AE2">
            <w:pPr>
              <w:spacing w:after="0" w:line="240" w:lineRule="auto"/>
              <w:jc w:val="right"/>
              <w:rPr>
                <w:rFonts w:ascii="Arial" w:eastAsia="Times New Roman" w:hAnsi="Arial" w:cs="Arial"/>
                <w:sz w:val="20"/>
                <w:szCs w:val="20"/>
                <w:lang w:val="en-GB" w:eastAsia="en-GB"/>
              </w:rPr>
            </w:pPr>
            <w:r w:rsidRPr="0005127A">
              <w:rPr>
                <w:rFonts w:ascii="Arial" w:eastAsia="Times New Roman" w:hAnsi="Arial" w:cs="Arial"/>
                <w:sz w:val="20"/>
                <w:szCs w:val="20"/>
                <w:lang w:eastAsia="en-GB"/>
              </w:rPr>
              <w:t>13.587.679.164</w:t>
            </w:r>
          </w:p>
        </w:tc>
      </w:tr>
      <w:tr w:rsidR="004D51D2" w:rsidRPr="0072496D" w:rsidTr="00045A11">
        <w:trPr>
          <w:trHeight w:val="575"/>
        </w:trPr>
        <w:tc>
          <w:tcPr>
            <w:tcW w:w="1551" w:type="pct"/>
            <w:shd w:val="clear" w:color="auto" w:fill="auto"/>
            <w:vAlign w:val="center"/>
            <w:hideMark/>
          </w:tcPr>
          <w:p w:rsidR="004D51D2" w:rsidRPr="0072496D" w:rsidRDefault="0005127A" w:rsidP="004D25FA">
            <w:pPr>
              <w:spacing w:after="0" w:line="240" w:lineRule="auto"/>
              <w:rPr>
                <w:rFonts w:ascii="Arial" w:eastAsia="Times New Roman" w:hAnsi="Arial" w:cs="Arial"/>
                <w:b/>
                <w:bCs/>
                <w:sz w:val="20"/>
                <w:szCs w:val="20"/>
                <w:lang w:val="en-GB" w:eastAsia="en-GB"/>
              </w:rPr>
            </w:pPr>
            <w:r w:rsidRPr="0005127A">
              <w:rPr>
                <w:rFonts w:ascii="Arial" w:eastAsia="Times New Roman" w:hAnsi="Arial" w:cs="Arial"/>
                <w:b/>
                <w:bCs/>
                <w:sz w:val="20"/>
                <w:szCs w:val="20"/>
                <w:lang w:val="en-GB" w:eastAsia="en-GB"/>
              </w:rPr>
              <w:t>Tổng lợi nhuận chưa phân phối</w:t>
            </w:r>
          </w:p>
        </w:tc>
        <w:tc>
          <w:tcPr>
            <w:tcW w:w="1169" w:type="pct"/>
            <w:vAlign w:val="bottom"/>
          </w:tcPr>
          <w:p w:rsidR="004D51D2" w:rsidRPr="0072496D" w:rsidRDefault="0005127A" w:rsidP="00BE23FD">
            <w:pPr>
              <w:spacing w:after="0" w:line="240" w:lineRule="auto"/>
              <w:jc w:val="right"/>
              <w:rPr>
                <w:rFonts w:ascii="Arial" w:eastAsia="Times New Roman" w:hAnsi="Arial" w:cs="Arial"/>
                <w:b/>
                <w:sz w:val="20"/>
                <w:szCs w:val="20"/>
                <w:lang w:val="en-GB" w:eastAsia="en-GB"/>
              </w:rPr>
            </w:pPr>
            <w:r w:rsidRPr="0005127A">
              <w:rPr>
                <w:rFonts w:ascii="Arial" w:eastAsia="Times New Roman" w:hAnsi="Arial" w:cs="Arial"/>
                <w:b/>
                <w:sz w:val="20"/>
                <w:szCs w:val="20"/>
                <w:lang w:val="en-GB" w:eastAsia="en-GB"/>
              </w:rPr>
              <w:t>11.987.277.088</w:t>
            </w:r>
          </w:p>
        </w:tc>
        <w:tc>
          <w:tcPr>
            <w:tcW w:w="1048" w:type="pct"/>
            <w:vAlign w:val="bottom"/>
          </w:tcPr>
          <w:p w:rsidR="004D51D2" w:rsidRPr="0072496D" w:rsidRDefault="0005127A" w:rsidP="00F14AE2">
            <w:pPr>
              <w:spacing w:after="0" w:line="240" w:lineRule="auto"/>
              <w:jc w:val="right"/>
              <w:rPr>
                <w:rFonts w:ascii="Arial" w:eastAsia="Times New Roman" w:hAnsi="Arial" w:cs="Arial"/>
                <w:b/>
                <w:sz w:val="20"/>
                <w:szCs w:val="20"/>
                <w:lang w:val="en-GB" w:eastAsia="en-GB"/>
              </w:rPr>
            </w:pPr>
            <w:r w:rsidRPr="0005127A">
              <w:rPr>
                <w:rFonts w:ascii="Arial" w:eastAsia="Times New Roman" w:hAnsi="Arial" w:cs="Arial"/>
                <w:b/>
                <w:sz w:val="20"/>
                <w:szCs w:val="20"/>
                <w:lang w:val="en-GB" w:eastAsia="en-GB"/>
              </w:rPr>
              <w:t>14.695.970.694</w:t>
            </w:r>
          </w:p>
        </w:tc>
        <w:tc>
          <w:tcPr>
            <w:tcW w:w="1232" w:type="pct"/>
            <w:shd w:val="clear" w:color="auto" w:fill="auto"/>
            <w:vAlign w:val="bottom"/>
            <w:hideMark/>
          </w:tcPr>
          <w:p w:rsidR="004D51D2" w:rsidRPr="0072496D" w:rsidRDefault="0005127A" w:rsidP="00F14AE2">
            <w:pPr>
              <w:spacing w:after="0" w:line="240" w:lineRule="auto"/>
              <w:jc w:val="right"/>
              <w:rPr>
                <w:rFonts w:ascii="Arial" w:eastAsia="Times New Roman" w:hAnsi="Arial" w:cs="Arial"/>
                <w:b/>
                <w:sz w:val="20"/>
                <w:szCs w:val="20"/>
                <w:lang w:val="en-GB" w:eastAsia="en-GB"/>
              </w:rPr>
            </w:pPr>
            <w:r w:rsidRPr="0005127A">
              <w:rPr>
                <w:rFonts w:ascii="Arial" w:eastAsia="Times New Roman" w:hAnsi="Arial" w:cs="Arial"/>
                <w:b/>
                <w:sz w:val="20"/>
                <w:szCs w:val="20"/>
                <w:lang w:val="en-GB" w:eastAsia="en-GB"/>
              </w:rPr>
              <w:t>26.683.247.782</w:t>
            </w:r>
          </w:p>
        </w:tc>
      </w:tr>
    </w:tbl>
    <w:p w:rsidR="00850E80" w:rsidRDefault="00850E80" w:rsidP="00CB3BFE">
      <w:pPr>
        <w:keepNext/>
        <w:keepLines/>
        <w:spacing w:beforeLines="60" w:afterLines="60" w:line="360" w:lineRule="auto"/>
        <w:jc w:val="both"/>
        <w:rPr>
          <w:rFonts w:ascii="Arial" w:eastAsia="Times New Roman" w:hAnsi="Arial" w:cs="Arial"/>
          <w:b/>
          <w:bCs/>
          <w:i/>
          <w:sz w:val="20"/>
          <w:szCs w:val="20"/>
        </w:rPr>
      </w:pPr>
    </w:p>
    <w:p w:rsidR="0005127A" w:rsidRDefault="0005127A" w:rsidP="00CB3BFE">
      <w:pPr>
        <w:keepNext/>
        <w:keepLines/>
        <w:spacing w:beforeLines="60" w:afterLines="60" w:line="360" w:lineRule="auto"/>
        <w:jc w:val="both"/>
        <w:rPr>
          <w:rFonts w:ascii="Arial" w:eastAsia="Times New Roman" w:hAnsi="Arial" w:cs="Arial"/>
          <w:b/>
          <w:bCs/>
          <w:i/>
          <w:sz w:val="20"/>
          <w:szCs w:val="20"/>
        </w:rPr>
      </w:pPr>
      <w:r w:rsidRPr="0005127A">
        <w:rPr>
          <w:rFonts w:ascii="Arial" w:eastAsia="Times New Roman" w:hAnsi="Arial" w:cs="Arial"/>
          <w:b/>
          <w:bCs/>
          <w:i/>
          <w:sz w:val="20"/>
          <w:szCs w:val="20"/>
        </w:rPr>
        <w:t xml:space="preserve">5.8 </w:t>
      </w:r>
      <w:r w:rsidRPr="0005127A">
        <w:rPr>
          <w:rFonts w:ascii="Arial" w:eastAsia="Times New Roman" w:hAnsi="Arial" w:cs="Arial"/>
          <w:b/>
          <w:bCs/>
          <w:i/>
          <w:sz w:val="20"/>
          <w:szCs w:val="20"/>
        </w:rPr>
        <w:tab/>
        <w:t>Sự kiện phát sinh sau ngày báo cáo tài chính</w:t>
      </w:r>
    </w:p>
    <w:p w:rsidR="0005127A" w:rsidRDefault="0005127A" w:rsidP="00CB3BFE">
      <w:pPr>
        <w:keepNext/>
        <w:keepLines/>
        <w:spacing w:beforeLines="60" w:afterLines="60" w:line="360" w:lineRule="auto"/>
        <w:ind w:left="720"/>
        <w:jc w:val="both"/>
        <w:rPr>
          <w:rFonts w:ascii="Arial" w:eastAsia="Times New Roman" w:hAnsi="Arial" w:cs="Arial"/>
          <w:bCs/>
          <w:sz w:val="20"/>
          <w:szCs w:val="20"/>
        </w:rPr>
      </w:pPr>
      <w:proofErr w:type="gramStart"/>
      <w:r w:rsidRPr="0005127A">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p w:rsidR="0005127A" w:rsidRDefault="0005127A" w:rsidP="00CB3BFE">
      <w:pPr>
        <w:keepNext/>
        <w:keepLines/>
        <w:spacing w:beforeLines="60" w:afterLines="60" w:line="360" w:lineRule="auto"/>
        <w:ind w:left="720"/>
        <w:jc w:val="both"/>
        <w:rPr>
          <w:rFonts w:ascii="Arial" w:eastAsia="Times New Roman" w:hAnsi="Arial" w:cs="Arial"/>
          <w:bCs/>
          <w:sz w:val="20"/>
          <w:szCs w:val="20"/>
        </w:rPr>
      </w:pPr>
    </w:p>
    <w:tbl>
      <w:tblPr>
        <w:tblW w:w="10440" w:type="dxa"/>
        <w:tblInd w:w="-342" w:type="dxa"/>
        <w:tblLook w:val="04A0"/>
      </w:tblPr>
      <w:tblGrid>
        <w:gridCol w:w="3600"/>
        <w:gridCol w:w="3510"/>
        <w:gridCol w:w="3330"/>
      </w:tblGrid>
      <w:tr w:rsidR="00484381" w:rsidRPr="0072496D" w:rsidTr="00484381">
        <w:tc>
          <w:tcPr>
            <w:tcW w:w="3600" w:type="dxa"/>
            <w:vAlign w:val="bottom"/>
          </w:tcPr>
          <w:p w:rsidR="00484381" w:rsidRPr="0072496D" w:rsidRDefault="0005127A" w:rsidP="00F51419">
            <w:pPr>
              <w:tabs>
                <w:tab w:val="center" w:pos="4320"/>
              </w:tabs>
              <w:jc w:val="center"/>
              <w:rPr>
                <w:rFonts w:ascii="Arial" w:hAnsi="Arial" w:cs="Arial"/>
                <w:sz w:val="20"/>
                <w:szCs w:val="20"/>
              </w:rPr>
            </w:pPr>
            <w:r w:rsidRPr="0005127A">
              <w:rPr>
                <w:rFonts w:ascii="Arial" w:hAnsi="Arial" w:cs="Arial"/>
                <w:sz w:val="20"/>
                <w:szCs w:val="20"/>
              </w:rPr>
              <w:t>Người lập:</w:t>
            </w:r>
          </w:p>
        </w:tc>
        <w:tc>
          <w:tcPr>
            <w:tcW w:w="6840" w:type="dxa"/>
            <w:gridSpan w:val="2"/>
          </w:tcPr>
          <w:p w:rsidR="00484381" w:rsidRPr="0072496D" w:rsidRDefault="0005127A" w:rsidP="00F51419">
            <w:pPr>
              <w:tabs>
                <w:tab w:val="center" w:pos="4320"/>
              </w:tabs>
              <w:jc w:val="center"/>
              <w:rPr>
                <w:rFonts w:ascii="Arial" w:hAnsi="Arial" w:cs="Arial"/>
                <w:sz w:val="20"/>
                <w:szCs w:val="20"/>
              </w:rPr>
            </w:pPr>
            <w:r w:rsidRPr="0005127A">
              <w:rPr>
                <w:rFonts w:ascii="Arial" w:hAnsi="Arial" w:cs="Arial"/>
                <w:sz w:val="20"/>
                <w:szCs w:val="20"/>
              </w:rPr>
              <w:t>Người duyệt:</w:t>
            </w: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rPr>
          <w:trHeight w:val="702"/>
        </w:trPr>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rPr>
          <w:trHeight w:val="594"/>
        </w:trPr>
        <w:tc>
          <w:tcPr>
            <w:tcW w:w="3600" w:type="dxa"/>
            <w:vAlign w:val="bottom"/>
          </w:tcPr>
          <w:p w:rsidR="00484381" w:rsidRPr="0072496D" w:rsidRDefault="0005127A" w:rsidP="00F51419">
            <w:pPr>
              <w:tabs>
                <w:tab w:val="center" w:pos="4320"/>
              </w:tabs>
              <w:spacing w:after="0"/>
              <w:jc w:val="center"/>
              <w:rPr>
                <w:rFonts w:ascii="Arial" w:hAnsi="Arial" w:cs="Arial"/>
                <w:b/>
                <w:sz w:val="20"/>
                <w:szCs w:val="20"/>
              </w:rPr>
            </w:pPr>
            <w:r w:rsidRPr="0005127A">
              <w:rPr>
                <w:rFonts w:ascii="Arial" w:hAnsi="Arial" w:cs="Arial"/>
                <w:sz w:val="20"/>
                <w:szCs w:val="20"/>
              </w:rPr>
              <w:t>______________________</w:t>
            </w:r>
          </w:p>
          <w:p w:rsidR="00484381" w:rsidRPr="0072496D" w:rsidRDefault="0005127A" w:rsidP="00F51419">
            <w:pPr>
              <w:tabs>
                <w:tab w:val="center" w:pos="4320"/>
              </w:tabs>
              <w:jc w:val="center"/>
              <w:rPr>
                <w:rFonts w:ascii="Arial" w:hAnsi="Arial" w:cs="Arial"/>
                <w:b/>
                <w:sz w:val="20"/>
                <w:szCs w:val="20"/>
              </w:rPr>
            </w:pPr>
            <w:r w:rsidRPr="0005127A">
              <w:rPr>
                <w:rFonts w:ascii="Arial" w:hAnsi="Arial" w:cs="Arial"/>
                <w:b/>
                <w:sz w:val="20"/>
                <w:szCs w:val="20"/>
              </w:rPr>
              <w:t>Bà Vũ Thanh Hằng</w:t>
            </w:r>
          </w:p>
        </w:tc>
        <w:tc>
          <w:tcPr>
            <w:tcW w:w="3510" w:type="dxa"/>
          </w:tcPr>
          <w:p w:rsidR="00484381" w:rsidRPr="0072496D" w:rsidRDefault="0005127A" w:rsidP="00F51419">
            <w:pPr>
              <w:tabs>
                <w:tab w:val="center" w:pos="4320"/>
              </w:tabs>
              <w:spacing w:after="0"/>
              <w:jc w:val="center"/>
              <w:rPr>
                <w:rFonts w:ascii="Arial" w:hAnsi="Arial" w:cs="Arial"/>
                <w:b/>
                <w:sz w:val="20"/>
                <w:szCs w:val="20"/>
              </w:rPr>
            </w:pPr>
            <w:r w:rsidRPr="0005127A">
              <w:rPr>
                <w:rFonts w:ascii="Arial" w:hAnsi="Arial" w:cs="Arial"/>
                <w:b/>
                <w:sz w:val="20"/>
                <w:szCs w:val="20"/>
              </w:rPr>
              <w:t xml:space="preserve"> </w:t>
            </w:r>
            <w:r w:rsidRPr="0005127A">
              <w:rPr>
                <w:rFonts w:ascii="Arial" w:hAnsi="Arial" w:cs="Arial"/>
                <w:sz w:val="20"/>
                <w:szCs w:val="20"/>
              </w:rPr>
              <w:t>_____________________________</w:t>
            </w:r>
          </w:p>
          <w:p w:rsidR="00484381" w:rsidRPr="0072496D" w:rsidRDefault="0005127A" w:rsidP="00F51419">
            <w:pPr>
              <w:tabs>
                <w:tab w:val="center" w:pos="4320"/>
              </w:tabs>
              <w:jc w:val="center"/>
              <w:rPr>
                <w:rFonts w:ascii="Arial" w:hAnsi="Arial" w:cs="Arial"/>
                <w:b/>
                <w:sz w:val="20"/>
                <w:szCs w:val="20"/>
              </w:rPr>
            </w:pPr>
            <w:r w:rsidRPr="0005127A">
              <w:rPr>
                <w:rFonts w:ascii="Arial" w:hAnsi="Arial" w:cs="Arial"/>
                <w:b/>
                <w:sz w:val="20"/>
                <w:szCs w:val="20"/>
              </w:rPr>
              <w:t>Bà Phan Thị Thu Hằng</w:t>
            </w:r>
          </w:p>
        </w:tc>
        <w:tc>
          <w:tcPr>
            <w:tcW w:w="3330" w:type="dxa"/>
          </w:tcPr>
          <w:p w:rsidR="00484381" w:rsidRPr="0072496D" w:rsidRDefault="0005127A" w:rsidP="00F51419">
            <w:pPr>
              <w:tabs>
                <w:tab w:val="center" w:pos="4320"/>
              </w:tabs>
              <w:spacing w:after="0"/>
              <w:jc w:val="center"/>
              <w:rPr>
                <w:rFonts w:ascii="Arial" w:hAnsi="Arial" w:cs="Arial"/>
                <w:b/>
                <w:sz w:val="20"/>
                <w:szCs w:val="20"/>
              </w:rPr>
            </w:pPr>
            <w:r w:rsidRPr="0005127A">
              <w:rPr>
                <w:rFonts w:ascii="Arial" w:hAnsi="Arial" w:cs="Arial"/>
                <w:sz w:val="20"/>
                <w:szCs w:val="20"/>
              </w:rPr>
              <w:t>____________________</w:t>
            </w:r>
            <w:r w:rsidRPr="0005127A">
              <w:rPr>
                <w:rFonts w:ascii="Arial" w:hAnsi="Arial" w:cs="Arial"/>
                <w:sz w:val="20"/>
                <w:szCs w:val="20"/>
              </w:rPr>
              <w:softHyphen/>
            </w:r>
            <w:r w:rsidRPr="0005127A">
              <w:rPr>
                <w:rFonts w:ascii="Arial" w:hAnsi="Arial" w:cs="Arial"/>
                <w:sz w:val="20"/>
                <w:szCs w:val="20"/>
              </w:rPr>
              <w:softHyphen/>
              <w:t>_</w:t>
            </w:r>
          </w:p>
          <w:p w:rsidR="00484381" w:rsidRPr="0072496D" w:rsidRDefault="0005127A" w:rsidP="00F51419">
            <w:pPr>
              <w:tabs>
                <w:tab w:val="center" w:pos="4320"/>
              </w:tabs>
              <w:jc w:val="center"/>
              <w:rPr>
                <w:rFonts w:ascii="Arial" w:hAnsi="Arial" w:cs="Arial"/>
                <w:b/>
                <w:sz w:val="20"/>
                <w:szCs w:val="20"/>
              </w:rPr>
            </w:pPr>
            <w:r w:rsidRPr="0005127A">
              <w:rPr>
                <w:rFonts w:ascii="Arial" w:hAnsi="Arial" w:cs="Arial"/>
                <w:b/>
                <w:sz w:val="20"/>
                <w:szCs w:val="20"/>
              </w:rPr>
              <w:t>Ông Đặng Lưu Dũng</w:t>
            </w:r>
          </w:p>
        </w:tc>
      </w:tr>
      <w:tr w:rsidR="00484381" w:rsidRPr="0072496D" w:rsidTr="00484381">
        <w:tc>
          <w:tcPr>
            <w:tcW w:w="3600" w:type="dxa"/>
          </w:tcPr>
          <w:p w:rsidR="00484381" w:rsidRPr="0072496D" w:rsidRDefault="0005127A" w:rsidP="00F51419">
            <w:pPr>
              <w:tabs>
                <w:tab w:val="center" w:pos="4320"/>
              </w:tabs>
              <w:jc w:val="center"/>
              <w:rPr>
                <w:rFonts w:ascii="Arial" w:hAnsi="Arial" w:cs="Arial"/>
                <w:sz w:val="20"/>
                <w:szCs w:val="20"/>
              </w:rPr>
            </w:pPr>
            <w:r w:rsidRPr="0005127A">
              <w:rPr>
                <w:rFonts w:ascii="Arial" w:hAnsi="Arial" w:cs="Arial"/>
                <w:i/>
                <w:sz w:val="20"/>
                <w:szCs w:val="20"/>
              </w:rPr>
              <w:t>Chuyên viên Quản lý Quỹ</w:t>
            </w:r>
          </w:p>
        </w:tc>
        <w:tc>
          <w:tcPr>
            <w:tcW w:w="3510" w:type="dxa"/>
          </w:tcPr>
          <w:p w:rsidR="00484381" w:rsidRPr="0072496D" w:rsidRDefault="0005127A" w:rsidP="00F51419">
            <w:pPr>
              <w:tabs>
                <w:tab w:val="center" w:pos="4320"/>
              </w:tabs>
              <w:spacing w:after="0" w:line="240" w:lineRule="auto"/>
              <w:jc w:val="center"/>
              <w:rPr>
                <w:rFonts w:ascii="Arial" w:hAnsi="Arial" w:cs="Arial"/>
                <w:i/>
                <w:sz w:val="20"/>
                <w:szCs w:val="20"/>
                <w:lang w:val="es-ES"/>
              </w:rPr>
            </w:pPr>
            <w:r w:rsidRPr="0005127A">
              <w:rPr>
                <w:rFonts w:ascii="Arial" w:hAnsi="Arial" w:cs="Arial"/>
                <w:i/>
                <w:sz w:val="20"/>
                <w:szCs w:val="20"/>
                <w:lang w:val="es-ES"/>
              </w:rPr>
              <w:t>Kế toán Trưởng</w:t>
            </w:r>
          </w:p>
        </w:tc>
        <w:tc>
          <w:tcPr>
            <w:tcW w:w="3330" w:type="dxa"/>
          </w:tcPr>
          <w:p w:rsidR="00484381" w:rsidRPr="0072496D" w:rsidRDefault="0005127A" w:rsidP="00F51419">
            <w:pPr>
              <w:tabs>
                <w:tab w:val="center" w:pos="4320"/>
              </w:tabs>
              <w:jc w:val="center"/>
              <w:rPr>
                <w:rFonts w:ascii="Arial" w:hAnsi="Arial" w:cs="Arial"/>
                <w:i/>
                <w:sz w:val="20"/>
                <w:szCs w:val="20"/>
              </w:rPr>
            </w:pPr>
            <w:r w:rsidRPr="0005127A">
              <w:rPr>
                <w:rFonts w:ascii="Arial" w:hAnsi="Arial" w:cs="Arial"/>
                <w:i/>
                <w:sz w:val="20"/>
                <w:szCs w:val="20"/>
              </w:rPr>
              <w:t>Giám đốc</w:t>
            </w:r>
          </w:p>
        </w:tc>
      </w:tr>
    </w:tbl>
    <w:p w:rsidR="0005127A" w:rsidRDefault="0005127A" w:rsidP="00CB3BFE">
      <w:pPr>
        <w:keepNext/>
        <w:keepLines/>
        <w:spacing w:beforeLines="60" w:afterLines="60" w:line="360" w:lineRule="auto"/>
        <w:ind w:left="720"/>
        <w:jc w:val="both"/>
        <w:rPr>
          <w:rFonts w:ascii="Arial" w:eastAsia="Times New Roman" w:hAnsi="Arial" w:cs="Arial"/>
          <w:bCs/>
          <w:sz w:val="20"/>
          <w:szCs w:val="20"/>
        </w:rPr>
      </w:pPr>
    </w:p>
    <w:p w:rsidR="0005127A" w:rsidRDefault="0005127A" w:rsidP="005B6B60">
      <w:pPr>
        <w:framePr w:w="2281" w:wrap="auto" w:hAnchor="text"/>
        <w:spacing w:before="120" w:afterLines="60" w:line="360" w:lineRule="auto"/>
        <w:jc w:val="both"/>
        <w:rPr>
          <w:rFonts w:ascii="Arial" w:hAnsi="Arial" w:cs="Arial"/>
          <w:sz w:val="20"/>
          <w:szCs w:val="20"/>
        </w:rPr>
      </w:pPr>
    </w:p>
    <w:sectPr w:rsidR="0005127A"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96D" w:rsidRDefault="0072496D" w:rsidP="002169ED">
      <w:pPr>
        <w:spacing w:after="0" w:line="240" w:lineRule="auto"/>
      </w:pPr>
      <w:r>
        <w:separator/>
      </w:r>
    </w:p>
  </w:endnote>
  <w:endnote w:type="continuationSeparator" w:id="0">
    <w:p w:rsidR="0072496D" w:rsidRDefault="0072496D"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780809"/>
      <w:docPartObj>
        <w:docPartGallery w:val="Page Numbers (Bottom of Page)"/>
        <w:docPartUnique/>
      </w:docPartObj>
    </w:sdtPr>
    <w:sdtEndPr>
      <w:rPr>
        <w:sz w:val="20"/>
        <w:szCs w:val="20"/>
      </w:rPr>
    </w:sdtEndPr>
    <w:sdtContent>
      <w:p w:rsidR="0072496D" w:rsidRDefault="0072496D">
        <w:pPr>
          <w:pStyle w:val="Footer"/>
          <w:jc w:val="right"/>
          <w:rPr>
            <w:rFonts w:ascii="Arial" w:hAnsi="Arial" w:cs="Arial"/>
          </w:rPr>
        </w:pPr>
      </w:p>
      <w:p w:rsidR="0072496D" w:rsidRPr="00294449" w:rsidRDefault="005B6B60">
        <w:pPr>
          <w:pStyle w:val="Footer"/>
          <w:jc w:val="right"/>
          <w:rPr>
            <w:rFonts w:ascii="Arial" w:hAnsi="Arial" w:cs="Arial"/>
            <w:sz w:val="20"/>
            <w:szCs w:val="20"/>
          </w:rPr>
        </w:pPr>
        <w:r w:rsidRPr="00294449">
          <w:rPr>
            <w:rFonts w:ascii="Arial" w:hAnsi="Arial" w:cs="Arial"/>
            <w:sz w:val="20"/>
            <w:szCs w:val="20"/>
          </w:rPr>
          <w:fldChar w:fldCharType="begin"/>
        </w:r>
        <w:r w:rsidR="0072496D"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CB3BFE">
          <w:rPr>
            <w:rFonts w:ascii="Arial" w:hAnsi="Arial" w:cs="Arial"/>
            <w:noProof/>
            <w:sz w:val="20"/>
            <w:szCs w:val="20"/>
          </w:rPr>
          <w:t>16</w:t>
        </w:r>
        <w:r w:rsidRPr="00294449">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96D" w:rsidRDefault="0072496D" w:rsidP="002169ED">
      <w:pPr>
        <w:spacing w:after="0" w:line="240" w:lineRule="auto"/>
      </w:pPr>
      <w:r>
        <w:separator/>
      </w:r>
    </w:p>
  </w:footnote>
  <w:footnote w:type="continuationSeparator" w:id="0">
    <w:p w:rsidR="0072496D" w:rsidRDefault="0072496D" w:rsidP="0021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2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3">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15"/>
  </w:num>
  <w:num w:numId="4">
    <w:abstractNumId w:val="19"/>
  </w:num>
  <w:num w:numId="5">
    <w:abstractNumId w:val="7"/>
  </w:num>
  <w:num w:numId="6">
    <w:abstractNumId w:val="3"/>
  </w:num>
  <w:num w:numId="7">
    <w:abstractNumId w:val="23"/>
  </w:num>
  <w:num w:numId="8">
    <w:abstractNumId w:val="26"/>
  </w:num>
  <w:num w:numId="9">
    <w:abstractNumId w:val="2"/>
  </w:num>
  <w:num w:numId="10">
    <w:abstractNumId w:val="18"/>
  </w:num>
  <w:num w:numId="11">
    <w:abstractNumId w:val="6"/>
  </w:num>
  <w:num w:numId="12">
    <w:abstractNumId w:val="9"/>
  </w:num>
  <w:num w:numId="13">
    <w:abstractNumId w:val="20"/>
  </w:num>
  <w:num w:numId="14">
    <w:abstractNumId w:val="24"/>
  </w:num>
  <w:num w:numId="15">
    <w:abstractNumId w:val="22"/>
  </w:num>
  <w:num w:numId="16">
    <w:abstractNumId w:val="0"/>
  </w:num>
  <w:num w:numId="17">
    <w:abstractNumId w:val="1"/>
  </w:num>
  <w:num w:numId="18">
    <w:abstractNumId w:val="17"/>
  </w:num>
  <w:num w:numId="19">
    <w:abstractNumId w:val="4"/>
  </w:num>
  <w:num w:numId="20">
    <w:abstractNumId w:val="10"/>
  </w:num>
  <w:num w:numId="21">
    <w:abstractNumId w:val="8"/>
  </w:num>
  <w:num w:numId="22">
    <w:abstractNumId w:val="25"/>
  </w:num>
  <w:num w:numId="23">
    <w:abstractNumId w:val="27"/>
  </w:num>
  <w:num w:numId="24">
    <w:abstractNumId w:val="11"/>
  </w:num>
  <w:num w:numId="25">
    <w:abstractNumId w:val="5"/>
  </w:num>
  <w:num w:numId="26">
    <w:abstractNumId w:val="13"/>
  </w:num>
  <w:num w:numId="27">
    <w:abstractNumId w:val="12"/>
  </w:num>
  <w:num w:numId="28">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1E56"/>
    <w:rsid w:val="00002B7E"/>
    <w:rsid w:val="00002B95"/>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A11"/>
    <w:rsid w:val="00045F74"/>
    <w:rsid w:val="00046B69"/>
    <w:rsid w:val="0004734A"/>
    <w:rsid w:val="0004797E"/>
    <w:rsid w:val="0005127A"/>
    <w:rsid w:val="0005130B"/>
    <w:rsid w:val="00051F45"/>
    <w:rsid w:val="00053AFD"/>
    <w:rsid w:val="00053D96"/>
    <w:rsid w:val="00055B01"/>
    <w:rsid w:val="00056727"/>
    <w:rsid w:val="00066216"/>
    <w:rsid w:val="00075074"/>
    <w:rsid w:val="00076EE8"/>
    <w:rsid w:val="00085271"/>
    <w:rsid w:val="00091A97"/>
    <w:rsid w:val="000948E5"/>
    <w:rsid w:val="00096BD6"/>
    <w:rsid w:val="000A288E"/>
    <w:rsid w:val="000A7576"/>
    <w:rsid w:val="000B0320"/>
    <w:rsid w:val="000B20F8"/>
    <w:rsid w:val="000B2B1C"/>
    <w:rsid w:val="000B5BC1"/>
    <w:rsid w:val="000B656A"/>
    <w:rsid w:val="000B6829"/>
    <w:rsid w:val="000C0764"/>
    <w:rsid w:val="000C4C81"/>
    <w:rsid w:val="000C5215"/>
    <w:rsid w:val="000D1559"/>
    <w:rsid w:val="000D16D7"/>
    <w:rsid w:val="000D3AC5"/>
    <w:rsid w:val="000D481F"/>
    <w:rsid w:val="000D5FD0"/>
    <w:rsid w:val="000E0B0F"/>
    <w:rsid w:val="000E7C58"/>
    <w:rsid w:val="000F0DDF"/>
    <w:rsid w:val="000F4251"/>
    <w:rsid w:val="000F580F"/>
    <w:rsid w:val="001034D7"/>
    <w:rsid w:val="0010373B"/>
    <w:rsid w:val="001040E2"/>
    <w:rsid w:val="0010575B"/>
    <w:rsid w:val="0010662B"/>
    <w:rsid w:val="001072D2"/>
    <w:rsid w:val="001103E0"/>
    <w:rsid w:val="00112401"/>
    <w:rsid w:val="001139AD"/>
    <w:rsid w:val="00113ED2"/>
    <w:rsid w:val="0011474C"/>
    <w:rsid w:val="001160CE"/>
    <w:rsid w:val="00127789"/>
    <w:rsid w:val="00127D48"/>
    <w:rsid w:val="00134AF1"/>
    <w:rsid w:val="00141D77"/>
    <w:rsid w:val="00155AB5"/>
    <w:rsid w:val="00156CC9"/>
    <w:rsid w:val="001574A4"/>
    <w:rsid w:val="0016341F"/>
    <w:rsid w:val="00164083"/>
    <w:rsid w:val="001648CD"/>
    <w:rsid w:val="00164A36"/>
    <w:rsid w:val="00165446"/>
    <w:rsid w:val="00165E6E"/>
    <w:rsid w:val="001707C6"/>
    <w:rsid w:val="00174764"/>
    <w:rsid w:val="00176A8C"/>
    <w:rsid w:val="00181FA1"/>
    <w:rsid w:val="00182099"/>
    <w:rsid w:val="00183286"/>
    <w:rsid w:val="00185130"/>
    <w:rsid w:val="00185A74"/>
    <w:rsid w:val="00187C3F"/>
    <w:rsid w:val="00192AB1"/>
    <w:rsid w:val="001942AC"/>
    <w:rsid w:val="0019587D"/>
    <w:rsid w:val="001A1D1C"/>
    <w:rsid w:val="001A24BE"/>
    <w:rsid w:val="001B2301"/>
    <w:rsid w:val="001B2596"/>
    <w:rsid w:val="001B32D6"/>
    <w:rsid w:val="001B44DD"/>
    <w:rsid w:val="001B44E8"/>
    <w:rsid w:val="001B49F4"/>
    <w:rsid w:val="001B4C41"/>
    <w:rsid w:val="001B54DF"/>
    <w:rsid w:val="001C16D0"/>
    <w:rsid w:val="001C2B96"/>
    <w:rsid w:val="001D0EBE"/>
    <w:rsid w:val="001D2D41"/>
    <w:rsid w:val="001D3877"/>
    <w:rsid w:val="001D5B52"/>
    <w:rsid w:val="001E152C"/>
    <w:rsid w:val="001E3AB0"/>
    <w:rsid w:val="001E59CC"/>
    <w:rsid w:val="001F116C"/>
    <w:rsid w:val="0020132A"/>
    <w:rsid w:val="002033C7"/>
    <w:rsid w:val="0020727A"/>
    <w:rsid w:val="00214AF3"/>
    <w:rsid w:val="00214F07"/>
    <w:rsid w:val="002169ED"/>
    <w:rsid w:val="002230B4"/>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444F"/>
    <w:rsid w:val="002778E2"/>
    <w:rsid w:val="00284050"/>
    <w:rsid w:val="00287ECC"/>
    <w:rsid w:val="00294449"/>
    <w:rsid w:val="00294B5F"/>
    <w:rsid w:val="00297DEB"/>
    <w:rsid w:val="002A201B"/>
    <w:rsid w:val="002A33EE"/>
    <w:rsid w:val="002A5A3E"/>
    <w:rsid w:val="002B222E"/>
    <w:rsid w:val="002B37F6"/>
    <w:rsid w:val="002B3FE5"/>
    <w:rsid w:val="002C0C74"/>
    <w:rsid w:val="002C0F28"/>
    <w:rsid w:val="002C1FBA"/>
    <w:rsid w:val="002C52F8"/>
    <w:rsid w:val="002D160D"/>
    <w:rsid w:val="002D57B7"/>
    <w:rsid w:val="002E134A"/>
    <w:rsid w:val="002E7382"/>
    <w:rsid w:val="002E7753"/>
    <w:rsid w:val="002F1104"/>
    <w:rsid w:val="002F7139"/>
    <w:rsid w:val="00300587"/>
    <w:rsid w:val="0030227C"/>
    <w:rsid w:val="003027BD"/>
    <w:rsid w:val="00307667"/>
    <w:rsid w:val="00312A5F"/>
    <w:rsid w:val="00312DDD"/>
    <w:rsid w:val="00314DF3"/>
    <w:rsid w:val="00315851"/>
    <w:rsid w:val="00317C06"/>
    <w:rsid w:val="00321BA0"/>
    <w:rsid w:val="00322877"/>
    <w:rsid w:val="00322B35"/>
    <w:rsid w:val="00323641"/>
    <w:rsid w:val="00327102"/>
    <w:rsid w:val="00327ECD"/>
    <w:rsid w:val="00333EA1"/>
    <w:rsid w:val="00333F27"/>
    <w:rsid w:val="00335BFF"/>
    <w:rsid w:val="003422C8"/>
    <w:rsid w:val="00342A3C"/>
    <w:rsid w:val="00344CD8"/>
    <w:rsid w:val="00346CC4"/>
    <w:rsid w:val="00350756"/>
    <w:rsid w:val="003544B9"/>
    <w:rsid w:val="003718BE"/>
    <w:rsid w:val="00371CF0"/>
    <w:rsid w:val="00372380"/>
    <w:rsid w:val="003811EC"/>
    <w:rsid w:val="00381E4A"/>
    <w:rsid w:val="003913B7"/>
    <w:rsid w:val="00391BCF"/>
    <w:rsid w:val="003B0E5E"/>
    <w:rsid w:val="003B113F"/>
    <w:rsid w:val="003B3F9C"/>
    <w:rsid w:val="003B61E9"/>
    <w:rsid w:val="003B66AD"/>
    <w:rsid w:val="003B67C9"/>
    <w:rsid w:val="003C0608"/>
    <w:rsid w:val="003C2BCF"/>
    <w:rsid w:val="003C3509"/>
    <w:rsid w:val="003C378B"/>
    <w:rsid w:val="003C55F8"/>
    <w:rsid w:val="003D32FA"/>
    <w:rsid w:val="003D4B3C"/>
    <w:rsid w:val="003D4D5C"/>
    <w:rsid w:val="003E0862"/>
    <w:rsid w:val="003E5F54"/>
    <w:rsid w:val="003E70D5"/>
    <w:rsid w:val="003F439C"/>
    <w:rsid w:val="003F5EAB"/>
    <w:rsid w:val="003F682A"/>
    <w:rsid w:val="003F6F27"/>
    <w:rsid w:val="00400DC7"/>
    <w:rsid w:val="004050D8"/>
    <w:rsid w:val="0040665B"/>
    <w:rsid w:val="004236A3"/>
    <w:rsid w:val="00423BA3"/>
    <w:rsid w:val="0042468C"/>
    <w:rsid w:val="00426874"/>
    <w:rsid w:val="00426920"/>
    <w:rsid w:val="00427533"/>
    <w:rsid w:val="00431B3D"/>
    <w:rsid w:val="00431BEA"/>
    <w:rsid w:val="00432AFF"/>
    <w:rsid w:val="00435C20"/>
    <w:rsid w:val="0043735F"/>
    <w:rsid w:val="00441376"/>
    <w:rsid w:val="00447E4C"/>
    <w:rsid w:val="004514D6"/>
    <w:rsid w:val="00452CA0"/>
    <w:rsid w:val="0045641B"/>
    <w:rsid w:val="00457CEF"/>
    <w:rsid w:val="00465887"/>
    <w:rsid w:val="0046720E"/>
    <w:rsid w:val="00467E05"/>
    <w:rsid w:val="004723EE"/>
    <w:rsid w:val="0047763A"/>
    <w:rsid w:val="0047792B"/>
    <w:rsid w:val="00483C3B"/>
    <w:rsid w:val="00484381"/>
    <w:rsid w:val="004844E3"/>
    <w:rsid w:val="00486E51"/>
    <w:rsid w:val="00487451"/>
    <w:rsid w:val="00487E07"/>
    <w:rsid w:val="00494D89"/>
    <w:rsid w:val="004A09FB"/>
    <w:rsid w:val="004A5FA0"/>
    <w:rsid w:val="004A6D33"/>
    <w:rsid w:val="004A7254"/>
    <w:rsid w:val="004A7516"/>
    <w:rsid w:val="004B1813"/>
    <w:rsid w:val="004B4324"/>
    <w:rsid w:val="004B479E"/>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624C"/>
    <w:rsid w:val="00502A5F"/>
    <w:rsid w:val="0050423F"/>
    <w:rsid w:val="0050778C"/>
    <w:rsid w:val="00512BFE"/>
    <w:rsid w:val="00513BF4"/>
    <w:rsid w:val="00513E2F"/>
    <w:rsid w:val="00516651"/>
    <w:rsid w:val="005274B7"/>
    <w:rsid w:val="005278CB"/>
    <w:rsid w:val="00531716"/>
    <w:rsid w:val="00531894"/>
    <w:rsid w:val="00532B57"/>
    <w:rsid w:val="00532E0E"/>
    <w:rsid w:val="005364FC"/>
    <w:rsid w:val="00537809"/>
    <w:rsid w:val="00541372"/>
    <w:rsid w:val="0054356C"/>
    <w:rsid w:val="00551148"/>
    <w:rsid w:val="00555B94"/>
    <w:rsid w:val="00556889"/>
    <w:rsid w:val="00560B91"/>
    <w:rsid w:val="00560C1B"/>
    <w:rsid w:val="00563562"/>
    <w:rsid w:val="00564E36"/>
    <w:rsid w:val="00573511"/>
    <w:rsid w:val="00573EA6"/>
    <w:rsid w:val="00574101"/>
    <w:rsid w:val="0057435C"/>
    <w:rsid w:val="00574838"/>
    <w:rsid w:val="005762E9"/>
    <w:rsid w:val="00581068"/>
    <w:rsid w:val="00583148"/>
    <w:rsid w:val="0058443A"/>
    <w:rsid w:val="00585161"/>
    <w:rsid w:val="005876BC"/>
    <w:rsid w:val="00594471"/>
    <w:rsid w:val="005A029B"/>
    <w:rsid w:val="005A3AAB"/>
    <w:rsid w:val="005A673E"/>
    <w:rsid w:val="005B1925"/>
    <w:rsid w:val="005B6B60"/>
    <w:rsid w:val="005B77CF"/>
    <w:rsid w:val="005C1527"/>
    <w:rsid w:val="005C35B6"/>
    <w:rsid w:val="005C5319"/>
    <w:rsid w:val="005C7305"/>
    <w:rsid w:val="005D525A"/>
    <w:rsid w:val="005D6D76"/>
    <w:rsid w:val="005E06FF"/>
    <w:rsid w:val="005E0718"/>
    <w:rsid w:val="005E1589"/>
    <w:rsid w:val="005E1959"/>
    <w:rsid w:val="005E5001"/>
    <w:rsid w:val="005E662C"/>
    <w:rsid w:val="005E677D"/>
    <w:rsid w:val="005E7F67"/>
    <w:rsid w:val="005F4835"/>
    <w:rsid w:val="006001BC"/>
    <w:rsid w:val="00600B5A"/>
    <w:rsid w:val="00602B8E"/>
    <w:rsid w:val="00603EAE"/>
    <w:rsid w:val="00611E35"/>
    <w:rsid w:val="0061211B"/>
    <w:rsid w:val="00615DDD"/>
    <w:rsid w:val="00622406"/>
    <w:rsid w:val="00622512"/>
    <w:rsid w:val="00622D6A"/>
    <w:rsid w:val="00623EE6"/>
    <w:rsid w:val="0062405B"/>
    <w:rsid w:val="00631320"/>
    <w:rsid w:val="00637E50"/>
    <w:rsid w:val="0064424F"/>
    <w:rsid w:val="006502CA"/>
    <w:rsid w:val="006516CD"/>
    <w:rsid w:val="006600AA"/>
    <w:rsid w:val="0066421F"/>
    <w:rsid w:val="00664988"/>
    <w:rsid w:val="0066618D"/>
    <w:rsid w:val="0066670E"/>
    <w:rsid w:val="00670726"/>
    <w:rsid w:val="006778BE"/>
    <w:rsid w:val="00685BE0"/>
    <w:rsid w:val="00687531"/>
    <w:rsid w:val="00687C7B"/>
    <w:rsid w:val="00692141"/>
    <w:rsid w:val="00693A16"/>
    <w:rsid w:val="006A47CC"/>
    <w:rsid w:val="006A6861"/>
    <w:rsid w:val="006A7FCE"/>
    <w:rsid w:val="006B1353"/>
    <w:rsid w:val="006B2D21"/>
    <w:rsid w:val="006B717A"/>
    <w:rsid w:val="006B7C0B"/>
    <w:rsid w:val="006C1691"/>
    <w:rsid w:val="006C3DF4"/>
    <w:rsid w:val="006D162B"/>
    <w:rsid w:val="006D2FC4"/>
    <w:rsid w:val="006D3175"/>
    <w:rsid w:val="006D57DE"/>
    <w:rsid w:val="006D5FE5"/>
    <w:rsid w:val="006E11B1"/>
    <w:rsid w:val="006E23E8"/>
    <w:rsid w:val="006E2F62"/>
    <w:rsid w:val="006E6242"/>
    <w:rsid w:val="006F28D3"/>
    <w:rsid w:val="006F2A4C"/>
    <w:rsid w:val="006F57FD"/>
    <w:rsid w:val="006F66E8"/>
    <w:rsid w:val="00717F53"/>
    <w:rsid w:val="0072049B"/>
    <w:rsid w:val="0072280C"/>
    <w:rsid w:val="0072496D"/>
    <w:rsid w:val="00725679"/>
    <w:rsid w:val="0072717D"/>
    <w:rsid w:val="00727EB4"/>
    <w:rsid w:val="007351EF"/>
    <w:rsid w:val="00735B82"/>
    <w:rsid w:val="00736225"/>
    <w:rsid w:val="00736824"/>
    <w:rsid w:val="007437C2"/>
    <w:rsid w:val="00751596"/>
    <w:rsid w:val="007515CD"/>
    <w:rsid w:val="00752742"/>
    <w:rsid w:val="00764876"/>
    <w:rsid w:val="0076580A"/>
    <w:rsid w:val="0077128F"/>
    <w:rsid w:val="00776F56"/>
    <w:rsid w:val="00780432"/>
    <w:rsid w:val="00780E82"/>
    <w:rsid w:val="007814B4"/>
    <w:rsid w:val="00782977"/>
    <w:rsid w:val="007854A6"/>
    <w:rsid w:val="007A29A6"/>
    <w:rsid w:val="007A3185"/>
    <w:rsid w:val="007A688B"/>
    <w:rsid w:val="007B0506"/>
    <w:rsid w:val="007B71B1"/>
    <w:rsid w:val="007C37D9"/>
    <w:rsid w:val="007C4F39"/>
    <w:rsid w:val="007C5520"/>
    <w:rsid w:val="007D26DC"/>
    <w:rsid w:val="007D356B"/>
    <w:rsid w:val="007D4606"/>
    <w:rsid w:val="007D4BB3"/>
    <w:rsid w:val="007E1DD6"/>
    <w:rsid w:val="007E52AE"/>
    <w:rsid w:val="007E5DBA"/>
    <w:rsid w:val="007E5FA7"/>
    <w:rsid w:val="007E76A4"/>
    <w:rsid w:val="007E792C"/>
    <w:rsid w:val="007F05EF"/>
    <w:rsid w:val="007F1136"/>
    <w:rsid w:val="007F29A1"/>
    <w:rsid w:val="007F490E"/>
    <w:rsid w:val="007F58AB"/>
    <w:rsid w:val="007F660E"/>
    <w:rsid w:val="00804C52"/>
    <w:rsid w:val="00811942"/>
    <w:rsid w:val="00812A58"/>
    <w:rsid w:val="00814A47"/>
    <w:rsid w:val="00814AC6"/>
    <w:rsid w:val="00815530"/>
    <w:rsid w:val="008162DE"/>
    <w:rsid w:val="00825E24"/>
    <w:rsid w:val="00826595"/>
    <w:rsid w:val="00827D57"/>
    <w:rsid w:val="0083278F"/>
    <w:rsid w:val="00832C5F"/>
    <w:rsid w:val="00833E43"/>
    <w:rsid w:val="0083400B"/>
    <w:rsid w:val="00836C2A"/>
    <w:rsid w:val="00850E80"/>
    <w:rsid w:val="0085459F"/>
    <w:rsid w:val="00862478"/>
    <w:rsid w:val="008632E4"/>
    <w:rsid w:val="00864D55"/>
    <w:rsid w:val="00874F52"/>
    <w:rsid w:val="00876EBA"/>
    <w:rsid w:val="00886CF9"/>
    <w:rsid w:val="00896C9C"/>
    <w:rsid w:val="00896EA4"/>
    <w:rsid w:val="008A19DC"/>
    <w:rsid w:val="008A1A4F"/>
    <w:rsid w:val="008A29BD"/>
    <w:rsid w:val="008A382A"/>
    <w:rsid w:val="008A3846"/>
    <w:rsid w:val="008A4900"/>
    <w:rsid w:val="008A49AB"/>
    <w:rsid w:val="008A4E1A"/>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F173B"/>
    <w:rsid w:val="008F6E1F"/>
    <w:rsid w:val="00901497"/>
    <w:rsid w:val="00920422"/>
    <w:rsid w:val="00926C02"/>
    <w:rsid w:val="009338B1"/>
    <w:rsid w:val="00933B3A"/>
    <w:rsid w:val="0093634E"/>
    <w:rsid w:val="00943A0B"/>
    <w:rsid w:val="009454D2"/>
    <w:rsid w:val="00946B36"/>
    <w:rsid w:val="00950111"/>
    <w:rsid w:val="00951CC2"/>
    <w:rsid w:val="00956067"/>
    <w:rsid w:val="00956ADA"/>
    <w:rsid w:val="00963559"/>
    <w:rsid w:val="00966C62"/>
    <w:rsid w:val="0096726B"/>
    <w:rsid w:val="0097387A"/>
    <w:rsid w:val="009757B4"/>
    <w:rsid w:val="009758C3"/>
    <w:rsid w:val="00975BAE"/>
    <w:rsid w:val="0097689A"/>
    <w:rsid w:val="009778D1"/>
    <w:rsid w:val="00980120"/>
    <w:rsid w:val="009813C4"/>
    <w:rsid w:val="00984581"/>
    <w:rsid w:val="00985CC6"/>
    <w:rsid w:val="00987A92"/>
    <w:rsid w:val="00990004"/>
    <w:rsid w:val="00990112"/>
    <w:rsid w:val="00996036"/>
    <w:rsid w:val="00996E6B"/>
    <w:rsid w:val="009A32EF"/>
    <w:rsid w:val="009A434E"/>
    <w:rsid w:val="009A5097"/>
    <w:rsid w:val="009A59B0"/>
    <w:rsid w:val="009B1AC0"/>
    <w:rsid w:val="009B6195"/>
    <w:rsid w:val="009B66E5"/>
    <w:rsid w:val="009C39C0"/>
    <w:rsid w:val="009C6462"/>
    <w:rsid w:val="009C6D96"/>
    <w:rsid w:val="009D74DF"/>
    <w:rsid w:val="009D79AC"/>
    <w:rsid w:val="009E2617"/>
    <w:rsid w:val="009E34F0"/>
    <w:rsid w:val="009E4546"/>
    <w:rsid w:val="009E5B94"/>
    <w:rsid w:val="009E6C9A"/>
    <w:rsid w:val="009E72BF"/>
    <w:rsid w:val="009F1B6B"/>
    <w:rsid w:val="009F2BEF"/>
    <w:rsid w:val="009F4554"/>
    <w:rsid w:val="009F62D7"/>
    <w:rsid w:val="009F7489"/>
    <w:rsid w:val="00A0634F"/>
    <w:rsid w:val="00A129A1"/>
    <w:rsid w:val="00A12DE2"/>
    <w:rsid w:val="00A13A41"/>
    <w:rsid w:val="00A15E48"/>
    <w:rsid w:val="00A16120"/>
    <w:rsid w:val="00A20D0B"/>
    <w:rsid w:val="00A20F27"/>
    <w:rsid w:val="00A23EBD"/>
    <w:rsid w:val="00A2612F"/>
    <w:rsid w:val="00A3354F"/>
    <w:rsid w:val="00A341B6"/>
    <w:rsid w:val="00A40758"/>
    <w:rsid w:val="00A42307"/>
    <w:rsid w:val="00A43E0E"/>
    <w:rsid w:val="00A451F4"/>
    <w:rsid w:val="00A45D8C"/>
    <w:rsid w:val="00A469EC"/>
    <w:rsid w:val="00A52900"/>
    <w:rsid w:val="00A55C89"/>
    <w:rsid w:val="00A57E03"/>
    <w:rsid w:val="00A633C7"/>
    <w:rsid w:val="00A6635E"/>
    <w:rsid w:val="00A67018"/>
    <w:rsid w:val="00A7177B"/>
    <w:rsid w:val="00A767A1"/>
    <w:rsid w:val="00A8213D"/>
    <w:rsid w:val="00A837F7"/>
    <w:rsid w:val="00A8443B"/>
    <w:rsid w:val="00A948E8"/>
    <w:rsid w:val="00A95E3B"/>
    <w:rsid w:val="00A97E90"/>
    <w:rsid w:val="00AA0EF2"/>
    <w:rsid w:val="00AA13B9"/>
    <w:rsid w:val="00AA2399"/>
    <w:rsid w:val="00AA7F6B"/>
    <w:rsid w:val="00AB0758"/>
    <w:rsid w:val="00AB1CDB"/>
    <w:rsid w:val="00AB3BEF"/>
    <w:rsid w:val="00AB58E8"/>
    <w:rsid w:val="00AB6FA7"/>
    <w:rsid w:val="00AC2D6D"/>
    <w:rsid w:val="00AC5E06"/>
    <w:rsid w:val="00AC5E0D"/>
    <w:rsid w:val="00AD0315"/>
    <w:rsid w:val="00AD2CF7"/>
    <w:rsid w:val="00AD43F6"/>
    <w:rsid w:val="00AD4526"/>
    <w:rsid w:val="00AD59FF"/>
    <w:rsid w:val="00AE1156"/>
    <w:rsid w:val="00AE1574"/>
    <w:rsid w:val="00AE71C2"/>
    <w:rsid w:val="00B04C7C"/>
    <w:rsid w:val="00B05A71"/>
    <w:rsid w:val="00B05FF3"/>
    <w:rsid w:val="00B0648F"/>
    <w:rsid w:val="00B068E4"/>
    <w:rsid w:val="00B21173"/>
    <w:rsid w:val="00B21261"/>
    <w:rsid w:val="00B241A0"/>
    <w:rsid w:val="00B25AFF"/>
    <w:rsid w:val="00B27354"/>
    <w:rsid w:val="00B30BDF"/>
    <w:rsid w:val="00B37D1F"/>
    <w:rsid w:val="00B41225"/>
    <w:rsid w:val="00B41397"/>
    <w:rsid w:val="00B432F2"/>
    <w:rsid w:val="00B477CD"/>
    <w:rsid w:val="00B52EAF"/>
    <w:rsid w:val="00B54A90"/>
    <w:rsid w:val="00B605DB"/>
    <w:rsid w:val="00B63107"/>
    <w:rsid w:val="00B71FF1"/>
    <w:rsid w:val="00B731AB"/>
    <w:rsid w:val="00B74C70"/>
    <w:rsid w:val="00B75203"/>
    <w:rsid w:val="00B77A9F"/>
    <w:rsid w:val="00B8096C"/>
    <w:rsid w:val="00B83A0D"/>
    <w:rsid w:val="00B84041"/>
    <w:rsid w:val="00B86171"/>
    <w:rsid w:val="00B87EBD"/>
    <w:rsid w:val="00B9184C"/>
    <w:rsid w:val="00B96392"/>
    <w:rsid w:val="00BA0153"/>
    <w:rsid w:val="00BA0A90"/>
    <w:rsid w:val="00BA3D8D"/>
    <w:rsid w:val="00BA7BCE"/>
    <w:rsid w:val="00BB2D83"/>
    <w:rsid w:val="00BB63A5"/>
    <w:rsid w:val="00BB7391"/>
    <w:rsid w:val="00BC295E"/>
    <w:rsid w:val="00BC4F8F"/>
    <w:rsid w:val="00BC5782"/>
    <w:rsid w:val="00BC711B"/>
    <w:rsid w:val="00BD3CBC"/>
    <w:rsid w:val="00BD48B4"/>
    <w:rsid w:val="00BD5AAA"/>
    <w:rsid w:val="00BD68E5"/>
    <w:rsid w:val="00BD6C4B"/>
    <w:rsid w:val="00BE23FD"/>
    <w:rsid w:val="00BE6007"/>
    <w:rsid w:val="00BE658D"/>
    <w:rsid w:val="00BE6725"/>
    <w:rsid w:val="00BE6A3A"/>
    <w:rsid w:val="00BF0A0E"/>
    <w:rsid w:val="00BF1C34"/>
    <w:rsid w:val="00BF35DE"/>
    <w:rsid w:val="00BF3863"/>
    <w:rsid w:val="00BF3E80"/>
    <w:rsid w:val="00BF485B"/>
    <w:rsid w:val="00BF492B"/>
    <w:rsid w:val="00C02A03"/>
    <w:rsid w:val="00C030DB"/>
    <w:rsid w:val="00C04B72"/>
    <w:rsid w:val="00C07491"/>
    <w:rsid w:val="00C07717"/>
    <w:rsid w:val="00C07FB8"/>
    <w:rsid w:val="00C12BE2"/>
    <w:rsid w:val="00C13063"/>
    <w:rsid w:val="00C14F50"/>
    <w:rsid w:val="00C156AE"/>
    <w:rsid w:val="00C15D6A"/>
    <w:rsid w:val="00C20CC0"/>
    <w:rsid w:val="00C21518"/>
    <w:rsid w:val="00C2164B"/>
    <w:rsid w:val="00C239FE"/>
    <w:rsid w:val="00C25B14"/>
    <w:rsid w:val="00C25DB7"/>
    <w:rsid w:val="00C304C1"/>
    <w:rsid w:val="00C35AEC"/>
    <w:rsid w:val="00C4783B"/>
    <w:rsid w:val="00C50340"/>
    <w:rsid w:val="00C508C3"/>
    <w:rsid w:val="00C53F11"/>
    <w:rsid w:val="00C55768"/>
    <w:rsid w:val="00C56EC3"/>
    <w:rsid w:val="00C57B77"/>
    <w:rsid w:val="00C600A4"/>
    <w:rsid w:val="00C60951"/>
    <w:rsid w:val="00C61B11"/>
    <w:rsid w:val="00C624A0"/>
    <w:rsid w:val="00C62960"/>
    <w:rsid w:val="00C62EE0"/>
    <w:rsid w:val="00C668EB"/>
    <w:rsid w:val="00C71BE8"/>
    <w:rsid w:val="00C76116"/>
    <w:rsid w:val="00C803C1"/>
    <w:rsid w:val="00C82F0B"/>
    <w:rsid w:val="00C84FB7"/>
    <w:rsid w:val="00C87D4E"/>
    <w:rsid w:val="00C9159D"/>
    <w:rsid w:val="00C92FD6"/>
    <w:rsid w:val="00C977BE"/>
    <w:rsid w:val="00CA4B78"/>
    <w:rsid w:val="00CA52B6"/>
    <w:rsid w:val="00CA6EAB"/>
    <w:rsid w:val="00CB3BFE"/>
    <w:rsid w:val="00CB6A49"/>
    <w:rsid w:val="00CC09AD"/>
    <w:rsid w:val="00CC0EF4"/>
    <w:rsid w:val="00CC2759"/>
    <w:rsid w:val="00CC3EC8"/>
    <w:rsid w:val="00CC75AC"/>
    <w:rsid w:val="00CD002C"/>
    <w:rsid w:val="00CD44AB"/>
    <w:rsid w:val="00CD6C32"/>
    <w:rsid w:val="00CE1151"/>
    <w:rsid w:val="00CE2ECB"/>
    <w:rsid w:val="00CE5023"/>
    <w:rsid w:val="00CF0975"/>
    <w:rsid w:val="00CF52CA"/>
    <w:rsid w:val="00CF5723"/>
    <w:rsid w:val="00CF715E"/>
    <w:rsid w:val="00D056E3"/>
    <w:rsid w:val="00D062AE"/>
    <w:rsid w:val="00D114BC"/>
    <w:rsid w:val="00D2081D"/>
    <w:rsid w:val="00D20B0B"/>
    <w:rsid w:val="00D20D95"/>
    <w:rsid w:val="00D22688"/>
    <w:rsid w:val="00D22864"/>
    <w:rsid w:val="00D24217"/>
    <w:rsid w:val="00D2621D"/>
    <w:rsid w:val="00D314D4"/>
    <w:rsid w:val="00D315E8"/>
    <w:rsid w:val="00D34183"/>
    <w:rsid w:val="00D352D6"/>
    <w:rsid w:val="00D354A1"/>
    <w:rsid w:val="00D35957"/>
    <w:rsid w:val="00D434BB"/>
    <w:rsid w:val="00D438D4"/>
    <w:rsid w:val="00D43F49"/>
    <w:rsid w:val="00D4531A"/>
    <w:rsid w:val="00D464B7"/>
    <w:rsid w:val="00D466A1"/>
    <w:rsid w:val="00D50D1A"/>
    <w:rsid w:val="00D53162"/>
    <w:rsid w:val="00D55231"/>
    <w:rsid w:val="00D571F4"/>
    <w:rsid w:val="00D633EC"/>
    <w:rsid w:val="00D634BC"/>
    <w:rsid w:val="00D63C44"/>
    <w:rsid w:val="00D6529B"/>
    <w:rsid w:val="00D678FE"/>
    <w:rsid w:val="00D73101"/>
    <w:rsid w:val="00D7763A"/>
    <w:rsid w:val="00D80B79"/>
    <w:rsid w:val="00D80E93"/>
    <w:rsid w:val="00D835CF"/>
    <w:rsid w:val="00D85DFB"/>
    <w:rsid w:val="00DA203B"/>
    <w:rsid w:val="00DA2EA1"/>
    <w:rsid w:val="00DA48ED"/>
    <w:rsid w:val="00DA55A5"/>
    <w:rsid w:val="00DA7731"/>
    <w:rsid w:val="00DB0B29"/>
    <w:rsid w:val="00DB3E79"/>
    <w:rsid w:val="00DC63AD"/>
    <w:rsid w:val="00DC68F5"/>
    <w:rsid w:val="00DC7926"/>
    <w:rsid w:val="00DD136A"/>
    <w:rsid w:val="00DD16D0"/>
    <w:rsid w:val="00DD3B68"/>
    <w:rsid w:val="00DE0B4E"/>
    <w:rsid w:val="00DE251B"/>
    <w:rsid w:val="00DF25EF"/>
    <w:rsid w:val="00DF4407"/>
    <w:rsid w:val="00E00955"/>
    <w:rsid w:val="00E02868"/>
    <w:rsid w:val="00E1164A"/>
    <w:rsid w:val="00E22FCD"/>
    <w:rsid w:val="00E23B87"/>
    <w:rsid w:val="00E23C2B"/>
    <w:rsid w:val="00E26E78"/>
    <w:rsid w:val="00E3232E"/>
    <w:rsid w:val="00E340AD"/>
    <w:rsid w:val="00E34A50"/>
    <w:rsid w:val="00E43706"/>
    <w:rsid w:val="00E44CDE"/>
    <w:rsid w:val="00E47082"/>
    <w:rsid w:val="00E47F42"/>
    <w:rsid w:val="00E55521"/>
    <w:rsid w:val="00E55DB4"/>
    <w:rsid w:val="00E610AC"/>
    <w:rsid w:val="00E6487C"/>
    <w:rsid w:val="00E65FB5"/>
    <w:rsid w:val="00E75DEA"/>
    <w:rsid w:val="00E817F6"/>
    <w:rsid w:val="00E81885"/>
    <w:rsid w:val="00E81C62"/>
    <w:rsid w:val="00E82E84"/>
    <w:rsid w:val="00E91FBB"/>
    <w:rsid w:val="00E96E77"/>
    <w:rsid w:val="00EA7553"/>
    <w:rsid w:val="00EB1F62"/>
    <w:rsid w:val="00EB45FB"/>
    <w:rsid w:val="00EB512E"/>
    <w:rsid w:val="00EB768E"/>
    <w:rsid w:val="00EC00CE"/>
    <w:rsid w:val="00EC3C57"/>
    <w:rsid w:val="00EC765F"/>
    <w:rsid w:val="00ED1A32"/>
    <w:rsid w:val="00ED3BF2"/>
    <w:rsid w:val="00ED48E5"/>
    <w:rsid w:val="00ED5E86"/>
    <w:rsid w:val="00ED645B"/>
    <w:rsid w:val="00ED66C1"/>
    <w:rsid w:val="00ED67AA"/>
    <w:rsid w:val="00EE21F0"/>
    <w:rsid w:val="00EE24F3"/>
    <w:rsid w:val="00EE27FA"/>
    <w:rsid w:val="00EE6B95"/>
    <w:rsid w:val="00EF03E7"/>
    <w:rsid w:val="00EF0960"/>
    <w:rsid w:val="00EF09FB"/>
    <w:rsid w:val="00EF0BB5"/>
    <w:rsid w:val="00EF1300"/>
    <w:rsid w:val="00EF3873"/>
    <w:rsid w:val="00EF39AA"/>
    <w:rsid w:val="00EF7597"/>
    <w:rsid w:val="00EF7711"/>
    <w:rsid w:val="00F0470C"/>
    <w:rsid w:val="00F0674E"/>
    <w:rsid w:val="00F069A6"/>
    <w:rsid w:val="00F07999"/>
    <w:rsid w:val="00F14AE2"/>
    <w:rsid w:val="00F4026C"/>
    <w:rsid w:val="00F41EFE"/>
    <w:rsid w:val="00F421A5"/>
    <w:rsid w:val="00F4243A"/>
    <w:rsid w:val="00F45BF8"/>
    <w:rsid w:val="00F461B1"/>
    <w:rsid w:val="00F50EAE"/>
    <w:rsid w:val="00F51419"/>
    <w:rsid w:val="00F52780"/>
    <w:rsid w:val="00F528EC"/>
    <w:rsid w:val="00F52AAF"/>
    <w:rsid w:val="00F56487"/>
    <w:rsid w:val="00F57DE8"/>
    <w:rsid w:val="00F63CEF"/>
    <w:rsid w:val="00F72248"/>
    <w:rsid w:val="00F77261"/>
    <w:rsid w:val="00F81DC0"/>
    <w:rsid w:val="00F81E69"/>
    <w:rsid w:val="00F82586"/>
    <w:rsid w:val="00F87B9B"/>
    <w:rsid w:val="00F9088C"/>
    <w:rsid w:val="00F9188F"/>
    <w:rsid w:val="00F92CFF"/>
    <w:rsid w:val="00F93F2D"/>
    <w:rsid w:val="00F97F86"/>
    <w:rsid w:val="00FA10DA"/>
    <w:rsid w:val="00FA2120"/>
    <w:rsid w:val="00FA2CEA"/>
    <w:rsid w:val="00FA69D6"/>
    <w:rsid w:val="00FB280A"/>
    <w:rsid w:val="00FB2B59"/>
    <w:rsid w:val="00FB4CE9"/>
    <w:rsid w:val="00FB64E6"/>
    <w:rsid w:val="00FC0D52"/>
    <w:rsid w:val="00FC35B3"/>
    <w:rsid w:val="00FC7805"/>
    <w:rsid w:val="00FD34C8"/>
    <w:rsid w:val="00FE0203"/>
    <w:rsid w:val="00FE5AF0"/>
    <w:rsid w:val="00FF06A4"/>
    <w:rsid w:val="00FF35AA"/>
    <w:rsid w:val="00FF4E2F"/>
    <w:rsid w:val="00FF6E98"/>
    <w:rsid w:val="00FF72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semiHidden/>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semiHidden/>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b/>
      <w:bC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zlNgoE+XXEDCB1iWqkYbVw9rruU=</DigestValue>
    </Reference>
    <Reference URI="#idOfficeObject" Type="http://www.w3.org/2000/09/xmldsig#Object">
      <DigestMethod Algorithm="http://www.w3.org/2000/09/xmldsig#sha1"/>
      <DigestValue>J98+JPGa3W5jrFyzroQ1kzqhQek=</DigestValue>
    </Reference>
  </SignedInfo>
  <SignatureValue>
    cU1aWzy4K9YJQhypZhcBxtnUsZtHhsnnCwacXoTiJVOe8PBE0mkrosOibuxze34yFkjI3jRK
    frYqYNLSLhCCdd0kyQ0o1SXWbQpaubcpWOmY7tUy99f+Zpe58rN2kLdEypLISyDDrWAwNcih
    6taNkuU9uTcSCQZ0hLdty5TPE3I=
  </SignatureValue>
  <KeyInfo>
    <KeyValue>
      <RSAKeyValue>
        <Modulus>
            mPyj/FMw9ulldAYGngZeDYnzr++OmqeLz6+bFRDIPn4TDTzZ0K8bMhQiynLLnHmPFCEHeFOm
            fIx2MZUfo97FF+PD/e4Y1r3q532xuoj1y2xFx0GQGZYaTkFAzeJiSMDrsWJdZBuOaX8cSZOa
            Db+laBvberVsU7860N4kr/E9z10=
          </Modulus>
        <Exponent>AQAB</Exponent>
      </RSAKeyValue>
    </KeyValue>
    <X509Data>
      <X509Certificate>
          MIIF6TCCA9GgAwIBAgIQVAHbOgzZya47L/YkHnb1KzANBgkqhkiG9w0BAQUFADBpMQswCQYD
          VQQGEwJWTjETMBEGA1UEChMKVk5QVCBHcm91cDEeMBwGA1UECxMVVk5QVC1DQSBUcnVzdCBO
          ZXR3b3JrMSUwIwYDVQQDExxWTlBUIENlcnRpZmljYXRpb24gQXV0aG9yaXR5MB4XDTE1MTIy
          NTA0MzIwMFoXDTE5MTIxNjA2NTgwOFowgaUxCzAJBgNVBAYTAlZOMRIwEAYDVQQIDAlIw4Ag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AoGBAJj8o/xTMPbpZXQGBp4GXg2J86/vjpqni8+vmxUQyD5+Ew082dCvGzIUIspyy5x5jxQh
          B3hTpnyMdjGVH6PexRfjw/3uGNa96ud9sbqI9ctsRcdBkBmWGk5BQM3iYkjA67FiXWQbjml/
          HEmTmg2/pWgb23q1bFO/OtDeJK/xPc9dAgMBAAGjggHSMIIBzjBwBggrBgEFBQcBAQRkMGIw
          MgYIKwYBBQUHMAKGJmh0dHA6Ly9wdWIudm5wdC1jYS52bi9jZXJ0cy92bnB0Y2EuY2VyMCwG
          CCsGAQUFBzABhiBodHRwOi8vb2NzcC52bnB0LWNhLnZuL3Jlc3BvbmRlcjAdBgNVHQ4EFgQU
          a2Ll8bWuOkbnscTIM4iaeIu8OEUwDAYDVR0TAQH/BAIwADAfBgNVHSMEGDAWgBQGacDV1QKK
          FY1Gfel84mgKVaxqrzBoBgNVHSAEYTBfMF0GDisGAQQBge0DAQEDAQECMEswIgYIKwYBBQUH
          AgIwFh4UAE8ASQBEAC0AUAByAC0AMQAuADAwJQYIKwYBBQUHAgEWGWh0dHA6Ly9wdWIudm5w
          dC1jYS52bi9ycGEwMQYDVR0fBCowKDAmoCSgIoYgaHR0cDovL2NybC52bnB0LWNhLnZuL3Zu
          cHRjYS5jcmwwDgYDVR0PAQH/BAQDAgTwMDQGA1UdJQQtMCsGCCsGAQUFBwMCBggrBgEFBQcD
          BAYKKwYBBAGCNwoDDAYJKoZIhvcvAQEFMCkGA1UdEQQiMCCBHnZuLnNlcmN1cml0aWVzLXNl
          cnZpY2VzQHNjLmNvbTANBgkqhkiG9w0BAQUFAAOCAgEAKZKvJyC6WlZttIo4LPZy+5lphGiX
          3i/6TNsNxRzBUBeymMZjtN3ncSTWMb71FR6IM6iKm84k4gXbtUpIAmKQynAFKYVzVrsdKxJj
          tzRy2Co/U8j4qWdyd1xDsrxo2dUBpefj3ovVlorkQMh5sImO0AeBYHELAptoOiV8zxqU0gWQ
          wbSl0ksbR0+5o8VU6jOVGEAyCWP0ScxlTA7ByH8BE0OT7XoV1P5PRpQhMhF/oHeobeDT+a60
          7Ma9iqw2h3JoROqLuzjzuDOqRfLyV5/gPeoYAmSiX9GUYCk6Qbv6zHDTAuUBXiolO/TDVnQg
          jo0Ecb4Rw5J+KKYZHgf1XD4jKO7CpLnd6rE3+Qv2fPV01NL34066kwkbQL+FingEA+ucoWgA
          UXre6a1mGPu9jkwbFcXngkiHpUWAiBdmgUZvmrhhXvDsAd4v7TfsZdFYAMPTT8TJeUpl7e8z
          GBlHOJVy2YmpWAs7rQ8LKnUbKIi46/tQPPy8CetoBquekQF2E1TI0eCHOUl9Wh/4Iu04Sj6g
          EU3trleNjpMDd9AwTpk9qicrTSodzTXgAMaSjImxt4N6P5hLE/LF8j+XM7exueb3uD73iaPR
          fWTHacrzOfHuQzR25cHyx1W4cIyM6ADulJv78YqaAuAOM3lF14REdFfRL0d8A1jPJKdVQk2h
          BYkc230=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a6/ogiHWqFUwAAbzWS9nyYTVchc=</DigestValue>
      </Reference>
      <Reference URI="/word/endnotes.xml?ContentType=application/vnd.openxmlformats-officedocument.wordprocessingml.endnotes+xml">
        <DigestMethod Algorithm="http://www.w3.org/2000/09/xmldsig#sha1"/>
        <DigestValue>nmIxg9otOT/8hq6ANQkf4JBLlwQ=</DigestValue>
      </Reference>
      <Reference URI="/word/fontTable.xml?ContentType=application/vnd.openxmlformats-officedocument.wordprocessingml.fontTable+xml">
        <DigestMethod Algorithm="http://www.w3.org/2000/09/xmldsig#sha1"/>
        <DigestValue>5vf6OGf7b663ZI1IwbruvNqctAE=</DigestValue>
      </Reference>
      <Reference URI="/word/footer1.xml?ContentType=application/vnd.openxmlformats-officedocument.wordprocessingml.footer+xml">
        <DigestMethod Algorithm="http://www.w3.org/2000/09/xmldsig#sha1"/>
        <DigestValue>f9dmCRGpzyTbCQ2Ad8jWrVwWjPo=</DigestValue>
      </Reference>
      <Reference URI="/word/footnotes.xml?ContentType=application/vnd.openxmlformats-officedocument.wordprocessingml.footnotes+xml">
        <DigestMethod Algorithm="http://www.w3.org/2000/09/xmldsig#sha1"/>
        <DigestValue>a9dxr82QoUjD+wCyF2m94wAu1Wk=</DigestValue>
      </Reference>
      <Reference URI="/word/numbering.xml?ContentType=application/vnd.openxmlformats-officedocument.wordprocessingml.numbering+xml">
        <DigestMethod Algorithm="http://www.w3.org/2000/09/xmldsig#sha1"/>
        <DigestValue>brfPBc0O0e++nICzRFgj+9J3ixQ=</DigestValue>
      </Reference>
      <Reference URI="/word/settings.xml?ContentType=application/vnd.openxmlformats-officedocument.wordprocessingml.settings+xml">
        <DigestMethod Algorithm="http://www.w3.org/2000/09/xmldsig#sha1"/>
        <DigestValue>Mz3zHAO3J1Z2WEfQFK8E5J4e3Ow=</DigestValue>
      </Reference>
      <Reference URI="/word/styles.xml?ContentType=application/vnd.openxmlformats-officedocument.wordprocessingml.styles+xml">
        <DigestMethod Algorithm="http://www.w3.org/2000/09/xmldsig#sha1"/>
        <DigestValue>cKH/fOhqNlO1eP5YkddzuxYxOYU=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3w8TgZDL7ttfoXhn/WbxJlHsn0M=</DigestValue>
      </Reference>
    </Manifest>
    <SignatureProperties>
      <SignatureProperty Id="idSignatureTime" Target="#idPackageSignature">
        <mdssi:SignatureTime>
          <mdssi:Format>YYYY-MM-DDThh:mm:ssTZD</mdssi:Format>
          <mdssi:Value>2018-01-19T03:52:04Z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824D5-E440-477E-888E-7DEAF562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16</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1505040</cp:lastModifiedBy>
  <cp:revision>38</cp:revision>
  <cp:lastPrinted>2016-10-19T08:55:00Z</cp:lastPrinted>
  <dcterms:created xsi:type="dcterms:W3CDTF">2018-01-09T09:02:00Z</dcterms:created>
  <dcterms:modified xsi:type="dcterms:W3CDTF">2018-01-19T03:51:00Z</dcterms:modified>
</cp:coreProperties>
</file>